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FC261" w14:textId="77777777" w:rsidR="00A97EAD" w:rsidRPr="00BD403A" w:rsidRDefault="00A97EAD" w:rsidP="00F9332D">
      <w:pPr>
        <w:widowControl/>
        <w:suppressAutoHyphens w:val="0"/>
        <w:autoSpaceDN/>
        <w:spacing w:after="200"/>
        <w:contextualSpacing/>
        <w:textAlignment w:val="auto"/>
        <w:outlineLvl w:val="1"/>
        <w:rPr>
          <w:rFonts w:ascii="Arial" w:hAnsi="Arial" w:cs="Arial"/>
          <w:b/>
          <w:kern w:val="0"/>
          <w:sz w:val="20"/>
        </w:rPr>
      </w:pPr>
    </w:p>
    <w:p w14:paraId="6FF9DFE2" w14:textId="24F8F26B" w:rsidR="00A97EAD" w:rsidRPr="009D61DF" w:rsidRDefault="00A97EAD" w:rsidP="008C7FA5">
      <w:pPr>
        <w:pBdr>
          <w:top w:val="single" w:sz="4" w:space="1" w:color="auto"/>
          <w:left w:val="single" w:sz="4" w:space="4" w:color="auto"/>
          <w:bottom w:val="single" w:sz="4" w:space="1" w:color="auto"/>
          <w:right w:val="single" w:sz="4" w:space="4" w:color="auto"/>
        </w:pBdr>
        <w:jc w:val="center"/>
        <w:rPr>
          <w:rFonts w:ascii="Arial" w:hAnsi="Arial" w:cs="Arial"/>
          <w:b/>
          <w:sz w:val="20"/>
        </w:rPr>
      </w:pPr>
      <w:r w:rsidRPr="009D61DF">
        <w:rPr>
          <w:rFonts w:ascii="Arial" w:hAnsi="Arial" w:cs="Arial"/>
          <w:b/>
          <w:sz w:val="20"/>
        </w:rPr>
        <w:t xml:space="preserve">GUIDELINES FOR </w:t>
      </w:r>
      <w:proofErr w:type="gramStart"/>
      <w:r w:rsidRPr="009D61DF">
        <w:rPr>
          <w:rFonts w:ascii="Arial" w:hAnsi="Arial" w:cs="Arial"/>
          <w:b/>
          <w:sz w:val="20"/>
        </w:rPr>
        <w:t>CONSULTANT TO CONSULTANT</w:t>
      </w:r>
      <w:proofErr w:type="gramEnd"/>
      <w:r w:rsidRPr="009D61DF">
        <w:rPr>
          <w:rFonts w:ascii="Arial" w:hAnsi="Arial" w:cs="Arial"/>
          <w:b/>
          <w:sz w:val="20"/>
        </w:rPr>
        <w:t xml:space="preserve"> REFERRALS</w:t>
      </w:r>
    </w:p>
    <w:p w14:paraId="600EDE9B" w14:textId="77777777" w:rsidR="00A97EAD" w:rsidRPr="00BD403A" w:rsidRDefault="00A97EAD" w:rsidP="00A97EAD">
      <w:pPr>
        <w:rPr>
          <w:rFonts w:ascii="Arial" w:hAnsi="Arial" w:cs="Arial"/>
          <w:b/>
          <w:bCs/>
          <w:sz w:val="20"/>
        </w:rPr>
      </w:pPr>
    </w:p>
    <w:p w14:paraId="3782DC4E" w14:textId="77777777" w:rsidR="00DD518A" w:rsidRPr="00BD403A" w:rsidRDefault="00DD518A" w:rsidP="00A97EAD">
      <w:pPr>
        <w:rPr>
          <w:rFonts w:ascii="Arial" w:hAnsi="Arial" w:cs="Arial"/>
          <w:b/>
          <w:bCs/>
          <w:sz w:val="20"/>
        </w:rPr>
      </w:pPr>
    </w:p>
    <w:p w14:paraId="5B2804EC" w14:textId="0757CD67" w:rsidR="00070F5D" w:rsidRPr="00BD403A" w:rsidRDefault="00295BF1" w:rsidP="008C7FA5">
      <w:pPr>
        <w:pStyle w:val="ListParagraph"/>
        <w:numPr>
          <w:ilvl w:val="0"/>
          <w:numId w:val="50"/>
        </w:numPr>
        <w:rPr>
          <w:rFonts w:ascii="Arial" w:hAnsi="Arial" w:cs="Arial"/>
          <w:b/>
          <w:bCs/>
          <w:sz w:val="20"/>
          <w:szCs w:val="20"/>
        </w:rPr>
      </w:pPr>
      <w:r w:rsidRPr="00BD403A">
        <w:rPr>
          <w:rFonts w:ascii="Arial" w:hAnsi="Arial" w:cs="Arial"/>
          <w:b/>
          <w:bCs/>
          <w:sz w:val="20"/>
          <w:szCs w:val="20"/>
        </w:rPr>
        <w:t>Introduction</w:t>
      </w:r>
    </w:p>
    <w:p w14:paraId="795CFFD9" w14:textId="585BF60E" w:rsidR="008855DD" w:rsidRPr="00BD403A" w:rsidRDefault="008855DD" w:rsidP="00A97EAD">
      <w:pPr>
        <w:rPr>
          <w:rFonts w:ascii="Arial" w:hAnsi="Arial" w:cs="Arial"/>
          <w:sz w:val="20"/>
        </w:rPr>
      </w:pPr>
      <w:r w:rsidRPr="00BD403A">
        <w:rPr>
          <w:rFonts w:ascii="Arial" w:hAnsi="Arial" w:cs="Arial"/>
          <w:sz w:val="20"/>
        </w:rPr>
        <w:t>Significant numbers of first outpatient referrals</w:t>
      </w:r>
      <w:r w:rsidR="00DD518A" w:rsidRPr="00BD403A">
        <w:rPr>
          <w:rFonts w:ascii="Arial" w:hAnsi="Arial" w:cs="Arial"/>
          <w:sz w:val="20"/>
        </w:rPr>
        <w:t xml:space="preserve"> </w:t>
      </w:r>
      <w:r w:rsidRPr="00BD403A">
        <w:rPr>
          <w:rFonts w:ascii="Arial" w:hAnsi="Arial" w:cs="Arial"/>
          <w:sz w:val="20"/>
        </w:rPr>
        <w:t>are not generated</w:t>
      </w:r>
      <w:r w:rsidR="00DD518A" w:rsidRPr="00BD403A">
        <w:rPr>
          <w:rFonts w:ascii="Arial" w:hAnsi="Arial" w:cs="Arial"/>
          <w:sz w:val="20"/>
        </w:rPr>
        <w:t xml:space="preserve"> </w:t>
      </w:r>
      <w:r w:rsidRPr="00BD403A">
        <w:rPr>
          <w:rFonts w:ascii="Arial" w:hAnsi="Arial" w:cs="Arial"/>
          <w:sz w:val="20"/>
        </w:rPr>
        <w:t xml:space="preserve">by General practitioners. Of these many are consultant to consultant </w:t>
      </w:r>
      <w:r w:rsidR="004D3F9B" w:rsidRPr="00BD403A">
        <w:rPr>
          <w:rFonts w:ascii="Arial" w:hAnsi="Arial" w:cs="Arial"/>
          <w:sz w:val="20"/>
        </w:rPr>
        <w:t>referrals;</w:t>
      </w:r>
      <w:r w:rsidR="00DD518A" w:rsidRPr="00BD403A">
        <w:rPr>
          <w:rFonts w:ascii="Arial" w:hAnsi="Arial" w:cs="Arial"/>
          <w:sz w:val="20"/>
        </w:rPr>
        <w:t xml:space="preserve"> </w:t>
      </w:r>
      <w:proofErr w:type="gramStart"/>
      <w:r w:rsidRPr="00BD403A">
        <w:rPr>
          <w:rFonts w:ascii="Arial" w:hAnsi="Arial" w:cs="Arial"/>
          <w:sz w:val="20"/>
        </w:rPr>
        <w:t>ther</w:t>
      </w:r>
      <w:r w:rsidR="00DD518A" w:rsidRPr="00BD403A">
        <w:rPr>
          <w:rFonts w:ascii="Arial" w:hAnsi="Arial" w:cs="Arial"/>
          <w:sz w:val="20"/>
        </w:rPr>
        <w:t>ef</w:t>
      </w:r>
      <w:r w:rsidRPr="00BD403A">
        <w:rPr>
          <w:rFonts w:ascii="Arial" w:hAnsi="Arial" w:cs="Arial"/>
          <w:sz w:val="20"/>
        </w:rPr>
        <w:t>ore</w:t>
      </w:r>
      <w:proofErr w:type="gramEnd"/>
      <w:r w:rsidR="00DD518A" w:rsidRPr="00BD403A">
        <w:rPr>
          <w:rFonts w:ascii="Arial" w:hAnsi="Arial" w:cs="Arial"/>
          <w:sz w:val="20"/>
        </w:rPr>
        <w:t xml:space="preserve"> </w:t>
      </w:r>
      <w:r w:rsidRPr="00BD403A">
        <w:rPr>
          <w:rFonts w:ascii="Arial" w:hAnsi="Arial" w:cs="Arial"/>
          <w:sz w:val="20"/>
        </w:rPr>
        <w:t>we need a process and framework</w:t>
      </w:r>
      <w:r w:rsidR="00DD518A" w:rsidRPr="00BD403A">
        <w:rPr>
          <w:rFonts w:ascii="Arial" w:hAnsi="Arial" w:cs="Arial"/>
          <w:sz w:val="20"/>
        </w:rPr>
        <w:t xml:space="preserve"> </w:t>
      </w:r>
      <w:r w:rsidRPr="00BD403A">
        <w:rPr>
          <w:rFonts w:ascii="Arial" w:hAnsi="Arial" w:cs="Arial"/>
          <w:sz w:val="20"/>
        </w:rPr>
        <w:t>of assurance for this activity to ensure processes are streamlined across the health economy.</w:t>
      </w:r>
      <w:r w:rsidR="00E85C72">
        <w:rPr>
          <w:rFonts w:ascii="Arial" w:hAnsi="Arial" w:cs="Arial"/>
          <w:sz w:val="20"/>
        </w:rPr>
        <w:t xml:space="preserve"> We are not trying to restrict appropriate referrals but avoid patients not being referred when they should be and adhering to the principle of right place first time with the right healthcare professional.</w:t>
      </w:r>
    </w:p>
    <w:p w14:paraId="6C4EFCC2" w14:textId="77777777" w:rsidR="00DD518A" w:rsidRPr="00BD403A" w:rsidRDefault="00DD518A" w:rsidP="00A97EAD">
      <w:pPr>
        <w:rPr>
          <w:rFonts w:ascii="Arial" w:hAnsi="Arial" w:cs="Arial"/>
          <w:sz w:val="20"/>
        </w:rPr>
      </w:pPr>
    </w:p>
    <w:p w14:paraId="2951B4B7" w14:textId="291A4A63" w:rsidR="00070F5D" w:rsidRPr="00BD403A" w:rsidRDefault="00070F5D" w:rsidP="008C7FA5">
      <w:pPr>
        <w:pStyle w:val="ListParagraph"/>
        <w:numPr>
          <w:ilvl w:val="0"/>
          <w:numId w:val="50"/>
        </w:numPr>
        <w:rPr>
          <w:rFonts w:ascii="Arial" w:hAnsi="Arial" w:cs="Arial"/>
          <w:b/>
          <w:bCs/>
          <w:sz w:val="20"/>
          <w:szCs w:val="20"/>
        </w:rPr>
      </w:pPr>
      <w:r w:rsidRPr="00BD403A">
        <w:rPr>
          <w:rFonts w:ascii="Arial" w:hAnsi="Arial" w:cs="Arial"/>
          <w:b/>
          <w:bCs/>
          <w:sz w:val="20"/>
          <w:szCs w:val="20"/>
        </w:rPr>
        <w:t>Definitions</w:t>
      </w:r>
    </w:p>
    <w:p w14:paraId="3E8EA84C" w14:textId="74716711" w:rsidR="00070F5D" w:rsidRPr="00BD403A" w:rsidRDefault="00070F5D" w:rsidP="00A97EAD">
      <w:pPr>
        <w:rPr>
          <w:rFonts w:ascii="Arial" w:hAnsi="Arial" w:cs="Arial"/>
          <w:sz w:val="20"/>
        </w:rPr>
      </w:pPr>
      <w:r w:rsidRPr="00BD403A">
        <w:rPr>
          <w:rFonts w:ascii="Arial" w:hAnsi="Arial" w:cs="Arial"/>
          <w:b/>
          <w:sz w:val="20"/>
        </w:rPr>
        <w:t>Consultant to consultant referral</w:t>
      </w:r>
      <w:r w:rsidRPr="00BD403A">
        <w:rPr>
          <w:rFonts w:ascii="Arial" w:hAnsi="Arial" w:cs="Arial"/>
          <w:sz w:val="20"/>
        </w:rPr>
        <w:t xml:space="preserve"> – a </w:t>
      </w:r>
      <w:r w:rsidR="008855DD" w:rsidRPr="00BD403A">
        <w:rPr>
          <w:rFonts w:ascii="Arial" w:hAnsi="Arial" w:cs="Arial"/>
          <w:sz w:val="20"/>
        </w:rPr>
        <w:t xml:space="preserve">referral from one </w:t>
      </w:r>
      <w:r w:rsidRPr="00BD403A">
        <w:rPr>
          <w:rFonts w:ascii="Arial" w:hAnsi="Arial" w:cs="Arial"/>
          <w:sz w:val="20"/>
        </w:rPr>
        <w:t>consultant to another consultant</w:t>
      </w:r>
      <w:r w:rsidR="00B7475F" w:rsidRPr="00BD403A">
        <w:rPr>
          <w:rFonts w:ascii="Arial" w:hAnsi="Arial" w:cs="Arial"/>
          <w:sz w:val="20"/>
        </w:rPr>
        <w:t xml:space="preserve"> </w:t>
      </w:r>
      <w:r w:rsidR="008855DD" w:rsidRPr="00BD403A">
        <w:rPr>
          <w:rFonts w:ascii="Arial" w:hAnsi="Arial" w:cs="Arial"/>
          <w:sz w:val="20"/>
        </w:rPr>
        <w:t>within the same organisation or between organisations.</w:t>
      </w:r>
    </w:p>
    <w:p w14:paraId="01DB40F5" w14:textId="60BF8683" w:rsidR="00070F5D" w:rsidRPr="00BD403A" w:rsidRDefault="00070F5D" w:rsidP="00A97EAD">
      <w:pPr>
        <w:rPr>
          <w:rFonts w:ascii="Arial" w:hAnsi="Arial" w:cs="Arial"/>
          <w:sz w:val="20"/>
        </w:rPr>
      </w:pPr>
      <w:r w:rsidRPr="00BD403A">
        <w:rPr>
          <w:rFonts w:ascii="Arial" w:hAnsi="Arial" w:cs="Arial"/>
          <w:b/>
          <w:sz w:val="20"/>
        </w:rPr>
        <w:t>First outpatient appointment</w:t>
      </w:r>
      <w:r w:rsidRPr="00BD403A">
        <w:rPr>
          <w:rFonts w:ascii="Arial" w:hAnsi="Arial" w:cs="Arial"/>
          <w:sz w:val="20"/>
        </w:rPr>
        <w:t xml:space="preserve"> – an outpatient appointment </w:t>
      </w:r>
      <w:r w:rsidR="008855DD" w:rsidRPr="00BD403A">
        <w:rPr>
          <w:rFonts w:ascii="Arial" w:hAnsi="Arial" w:cs="Arial"/>
          <w:sz w:val="20"/>
        </w:rPr>
        <w:t>for</w:t>
      </w:r>
      <w:r w:rsidR="00295BF1" w:rsidRPr="00BD403A">
        <w:rPr>
          <w:rFonts w:ascii="Arial" w:hAnsi="Arial" w:cs="Arial"/>
          <w:sz w:val="20"/>
        </w:rPr>
        <w:t xml:space="preserve"> </w:t>
      </w:r>
      <w:r w:rsidRPr="00BD403A">
        <w:rPr>
          <w:rFonts w:ascii="Arial" w:hAnsi="Arial" w:cs="Arial"/>
          <w:sz w:val="20"/>
        </w:rPr>
        <w:t>ne</w:t>
      </w:r>
      <w:r w:rsidR="00295BF1" w:rsidRPr="00BD403A">
        <w:rPr>
          <w:rFonts w:ascii="Arial" w:hAnsi="Arial" w:cs="Arial"/>
          <w:sz w:val="20"/>
        </w:rPr>
        <w:t>wly referred patients i.e. seen by that speciality for the first time and not part of ongoing management.</w:t>
      </w:r>
    </w:p>
    <w:p w14:paraId="5357A635" w14:textId="5D4A7B00" w:rsidR="00070F5D" w:rsidRPr="00BD403A" w:rsidRDefault="00070F5D" w:rsidP="00A97EAD">
      <w:pPr>
        <w:rPr>
          <w:rFonts w:ascii="Arial" w:hAnsi="Arial" w:cs="Arial"/>
          <w:sz w:val="20"/>
        </w:rPr>
      </w:pPr>
      <w:r w:rsidRPr="00BD403A">
        <w:rPr>
          <w:rFonts w:ascii="Arial" w:hAnsi="Arial" w:cs="Arial"/>
          <w:b/>
          <w:sz w:val="20"/>
        </w:rPr>
        <w:t>Follow up appointment</w:t>
      </w:r>
      <w:r w:rsidRPr="00BD403A">
        <w:rPr>
          <w:rFonts w:ascii="Arial" w:hAnsi="Arial" w:cs="Arial"/>
          <w:sz w:val="20"/>
        </w:rPr>
        <w:t xml:space="preserve"> – an outpatient appointment where further intervention is </w:t>
      </w:r>
      <w:r w:rsidR="00295BF1" w:rsidRPr="00BD403A">
        <w:rPr>
          <w:rFonts w:ascii="Arial" w:hAnsi="Arial" w:cs="Arial"/>
          <w:sz w:val="20"/>
        </w:rPr>
        <w:t>required</w:t>
      </w:r>
      <w:r w:rsidR="004D3F9B" w:rsidRPr="00BD403A">
        <w:rPr>
          <w:rFonts w:ascii="Arial" w:hAnsi="Arial" w:cs="Arial"/>
          <w:sz w:val="20"/>
        </w:rPr>
        <w:t xml:space="preserve"> </w:t>
      </w:r>
      <w:r w:rsidR="00295BF1" w:rsidRPr="00BD403A">
        <w:rPr>
          <w:rFonts w:ascii="Arial" w:hAnsi="Arial" w:cs="Arial"/>
          <w:sz w:val="20"/>
        </w:rPr>
        <w:t>for</w:t>
      </w:r>
      <w:r w:rsidR="00236BD6" w:rsidRPr="00BD403A">
        <w:rPr>
          <w:rFonts w:ascii="Arial" w:hAnsi="Arial" w:cs="Arial"/>
          <w:sz w:val="20"/>
        </w:rPr>
        <w:t xml:space="preserve"> the same clinical </w:t>
      </w:r>
      <w:r w:rsidR="00295BF1" w:rsidRPr="00BD403A">
        <w:rPr>
          <w:rFonts w:ascii="Arial" w:hAnsi="Arial" w:cs="Arial"/>
          <w:sz w:val="20"/>
        </w:rPr>
        <w:t>condition following a first outpatient appointment</w:t>
      </w:r>
      <w:r w:rsidR="004D3F9B" w:rsidRPr="00BD403A">
        <w:rPr>
          <w:rFonts w:ascii="Arial" w:hAnsi="Arial" w:cs="Arial"/>
          <w:sz w:val="20"/>
        </w:rPr>
        <w:t xml:space="preserve"> </w:t>
      </w:r>
      <w:r w:rsidRPr="00BD403A">
        <w:rPr>
          <w:rFonts w:ascii="Arial" w:hAnsi="Arial" w:cs="Arial"/>
          <w:sz w:val="20"/>
        </w:rPr>
        <w:t xml:space="preserve">as </w:t>
      </w:r>
      <w:r w:rsidR="00B7475F" w:rsidRPr="00BD403A">
        <w:rPr>
          <w:rFonts w:ascii="Arial" w:hAnsi="Arial" w:cs="Arial"/>
          <w:sz w:val="20"/>
        </w:rPr>
        <w:t>the</w:t>
      </w:r>
      <w:r w:rsidRPr="00BD403A">
        <w:rPr>
          <w:rFonts w:ascii="Arial" w:hAnsi="Arial" w:cs="Arial"/>
          <w:sz w:val="20"/>
        </w:rPr>
        <w:t xml:space="preserve"> patient’s first appointment. </w:t>
      </w:r>
    </w:p>
    <w:p w14:paraId="02E944BF" w14:textId="77777777" w:rsidR="00236BD6" w:rsidRPr="00BD403A" w:rsidRDefault="00236BD6" w:rsidP="00A97EAD">
      <w:pPr>
        <w:rPr>
          <w:rFonts w:ascii="Arial" w:hAnsi="Arial" w:cs="Arial"/>
          <w:sz w:val="20"/>
        </w:rPr>
      </w:pPr>
    </w:p>
    <w:p w14:paraId="49FF0284" w14:textId="082DCB5C" w:rsidR="00070F5D" w:rsidRPr="00BD403A" w:rsidRDefault="00070F5D" w:rsidP="008C7FA5">
      <w:pPr>
        <w:pStyle w:val="ListParagraph"/>
        <w:numPr>
          <w:ilvl w:val="0"/>
          <w:numId w:val="50"/>
        </w:numPr>
        <w:rPr>
          <w:rFonts w:ascii="Arial" w:hAnsi="Arial" w:cs="Arial"/>
          <w:sz w:val="20"/>
          <w:szCs w:val="20"/>
        </w:rPr>
      </w:pPr>
      <w:r w:rsidRPr="00BD403A">
        <w:rPr>
          <w:rFonts w:ascii="Arial" w:hAnsi="Arial" w:cs="Arial"/>
          <w:b/>
          <w:bCs/>
          <w:sz w:val="20"/>
          <w:szCs w:val="20"/>
        </w:rPr>
        <w:t>Background</w:t>
      </w:r>
    </w:p>
    <w:p w14:paraId="57106576" w14:textId="77777777" w:rsidR="00070F5D" w:rsidRPr="00BD403A" w:rsidRDefault="00070F5D" w:rsidP="008C7FA5">
      <w:pPr>
        <w:rPr>
          <w:rFonts w:ascii="Arial" w:hAnsi="Arial" w:cs="Arial"/>
          <w:sz w:val="20"/>
        </w:rPr>
      </w:pPr>
      <w:r w:rsidRPr="00BD403A">
        <w:rPr>
          <w:rFonts w:ascii="Arial" w:hAnsi="Arial" w:cs="Arial"/>
          <w:sz w:val="20"/>
        </w:rPr>
        <w:t xml:space="preserve">The increase in internally generated demand or referrals is growing more than twice as fast as demographic changes would suggest at the national </w:t>
      </w:r>
      <w:proofErr w:type="gramStart"/>
      <w:r w:rsidRPr="00BD403A">
        <w:rPr>
          <w:rFonts w:ascii="Arial" w:hAnsi="Arial" w:cs="Arial"/>
          <w:sz w:val="20"/>
        </w:rPr>
        <w:t>level</w:t>
      </w:r>
      <w:proofErr w:type="gramEnd"/>
    </w:p>
    <w:p w14:paraId="2B1132BD" w14:textId="34AA91DE" w:rsidR="00070F5D" w:rsidRPr="00DA325C" w:rsidRDefault="00070F5D" w:rsidP="00DA325C">
      <w:pPr>
        <w:pStyle w:val="ListParagraph"/>
        <w:numPr>
          <w:ilvl w:val="0"/>
          <w:numId w:val="52"/>
        </w:numPr>
        <w:rPr>
          <w:rFonts w:ascii="Arial" w:hAnsi="Arial" w:cs="Arial"/>
          <w:sz w:val="20"/>
          <w:szCs w:val="20"/>
        </w:rPr>
      </w:pPr>
      <w:r w:rsidRPr="00DA325C">
        <w:rPr>
          <w:rFonts w:ascii="Arial" w:hAnsi="Arial" w:cs="Arial"/>
          <w:sz w:val="20"/>
          <w:szCs w:val="20"/>
        </w:rPr>
        <w:t xml:space="preserve">A large proportion of GP referrals are made at the </w:t>
      </w:r>
      <w:r w:rsidR="00B7475F" w:rsidRPr="00DA325C">
        <w:rPr>
          <w:rFonts w:ascii="Arial" w:hAnsi="Arial" w:cs="Arial"/>
          <w:sz w:val="20"/>
          <w:szCs w:val="20"/>
        </w:rPr>
        <w:t>recommendation</w:t>
      </w:r>
      <w:r w:rsidRPr="00DA325C">
        <w:rPr>
          <w:rFonts w:ascii="Arial" w:hAnsi="Arial" w:cs="Arial"/>
          <w:sz w:val="20"/>
          <w:szCs w:val="20"/>
        </w:rPr>
        <w:t xml:space="preserve"> of a consultant. </w:t>
      </w:r>
    </w:p>
    <w:p w14:paraId="4DD45274" w14:textId="2CAA411E" w:rsidR="00070F5D" w:rsidRPr="00DA325C" w:rsidRDefault="00070F5D" w:rsidP="00DA325C">
      <w:pPr>
        <w:pStyle w:val="ListParagraph"/>
        <w:numPr>
          <w:ilvl w:val="0"/>
          <w:numId w:val="52"/>
        </w:numPr>
        <w:rPr>
          <w:rFonts w:ascii="Arial" w:hAnsi="Arial" w:cs="Arial"/>
          <w:sz w:val="20"/>
          <w:szCs w:val="20"/>
        </w:rPr>
      </w:pPr>
      <w:r w:rsidRPr="00DA325C">
        <w:rPr>
          <w:rFonts w:ascii="Arial" w:hAnsi="Arial" w:cs="Arial"/>
          <w:sz w:val="20"/>
          <w:szCs w:val="20"/>
        </w:rPr>
        <w:t xml:space="preserve">92% of </w:t>
      </w:r>
      <w:r w:rsidR="004D3F9B" w:rsidRPr="00DA325C">
        <w:rPr>
          <w:rFonts w:ascii="Arial" w:hAnsi="Arial" w:cs="Arial"/>
          <w:sz w:val="20"/>
          <w:szCs w:val="20"/>
        </w:rPr>
        <w:t>consultant-to-consultant</w:t>
      </w:r>
      <w:r w:rsidRPr="00DA325C">
        <w:rPr>
          <w:rFonts w:ascii="Arial" w:hAnsi="Arial" w:cs="Arial"/>
          <w:sz w:val="20"/>
          <w:szCs w:val="20"/>
        </w:rPr>
        <w:t xml:space="preserve"> referrals are from within the same trust</w:t>
      </w:r>
      <w:r w:rsidR="00DD518A" w:rsidRPr="00DA325C">
        <w:rPr>
          <w:rFonts w:ascii="Arial" w:hAnsi="Arial" w:cs="Arial"/>
          <w:sz w:val="20"/>
          <w:szCs w:val="20"/>
        </w:rPr>
        <w:t>.</w:t>
      </w:r>
    </w:p>
    <w:p w14:paraId="656C0527" w14:textId="77777777" w:rsidR="00070F5D" w:rsidRPr="00DA325C" w:rsidRDefault="00070F5D" w:rsidP="00DA325C">
      <w:pPr>
        <w:pStyle w:val="ListParagraph"/>
        <w:numPr>
          <w:ilvl w:val="0"/>
          <w:numId w:val="52"/>
        </w:numPr>
        <w:rPr>
          <w:rFonts w:ascii="Arial" w:hAnsi="Arial" w:cs="Arial"/>
          <w:sz w:val="20"/>
          <w:szCs w:val="20"/>
        </w:rPr>
      </w:pPr>
      <w:r w:rsidRPr="00DA325C">
        <w:rPr>
          <w:rFonts w:ascii="Arial" w:hAnsi="Arial" w:cs="Arial"/>
          <w:sz w:val="20"/>
          <w:szCs w:val="20"/>
        </w:rPr>
        <w:t xml:space="preserve">Consultant to consultant referrals </w:t>
      </w:r>
      <w:r w:rsidR="00B7475F" w:rsidRPr="00DA325C">
        <w:rPr>
          <w:rFonts w:ascii="Arial" w:hAnsi="Arial" w:cs="Arial"/>
          <w:sz w:val="20"/>
          <w:szCs w:val="20"/>
        </w:rPr>
        <w:t xml:space="preserve">often </w:t>
      </w:r>
      <w:r w:rsidRPr="00DA325C">
        <w:rPr>
          <w:rFonts w:ascii="Arial" w:hAnsi="Arial" w:cs="Arial"/>
          <w:sz w:val="20"/>
          <w:szCs w:val="20"/>
        </w:rPr>
        <w:t xml:space="preserve">relate to tertiary activity, which is particularly high in </w:t>
      </w:r>
      <w:proofErr w:type="gramStart"/>
      <w:r w:rsidRPr="00DA325C">
        <w:rPr>
          <w:rFonts w:ascii="Arial" w:hAnsi="Arial" w:cs="Arial"/>
          <w:sz w:val="20"/>
          <w:szCs w:val="20"/>
        </w:rPr>
        <w:t>Oxfordshire</w:t>
      </w:r>
      <w:proofErr w:type="gramEnd"/>
    </w:p>
    <w:p w14:paraId="7C0EA146" w14:textId="44FA9DDF" w:rsidR="00070F5D" w:rsidRPr="00DA325C" w:rsidRDefault="00070F5D" w:rsidP="00DA325C">
      <w:pPr>
        <w:pStyle w:val="ListParagraph"/>
        <w:numPr>
          <w:ilvl w:val="0"/>
          <w:numId w:val="52"/>
        </w:numPr>
        <w:rPr>
          <w:rFonts w:ascii="Arial" w:hAnsi="Arial" w:cs="Arial"/>
          <w:sz w:val="20"/>
          <w:szCs w:val="20"/>
        </w:rPr>
      </w:pPr>
      <w:r w:rsidRPr="00DA325C">
        <w:rPr>
          <w:rFonts w:ascii="Arial" w:hAnsi="Arial" w:cs="Arial"/>
          <w:sz w:val="20"/>
          <w:szCs w:val="20"/>
        </w:rPr>
        <w:t>It is often within the healthcare system’s control, working together, to improve pathways of care, and get patients to the right clinical team first time. This</w:t>
      </w:r>
      <w:r w:rsidR="00295BF1" w:rsidRPr="00DA325C">
        <w:rPr>
          <w:rFonts w:ascii="Arial" w:hAnsi="Arial" w:cs="Arial"/>
          <w:sz w:val="20"/>
          <w:szCs w:val="20"/>
        </w:rPr>
        <w:t xml:space="preserve"> would help to</w:t>
      </w:r>
      <w:r w:rsidR="00DD518A" w:rsidRPr="00DA325C">
        <w:rPr>
          <w:rFonts w:ascii="Arial" w:hAnsi="Arial" w:cs="Arial"/>
          <w:sz w:val="20"/>
          <w:szCs w:val="20"/>
        </w:rPr>
        <w:t xml:space="preserve"> </w:t>
      </w:r>
      <w:r w:rsidRPr="00DA325C">
        <w:rPr>
          <w:rFonts w:ascii="Arial" w:hAnsi="Arial" w:cs="Arial"/>
          <w:sz w:val="20"/>
          <w:szCs w:val="20"/>
        </w:rPr>
        <w:t>reduce consultant to consultant referrals and repeated first appointments.</w:t>
      </w:r>
    </w:p>
    <w:p w14:paraId="71C9D61C" w14:textId="69EB5F95" w:rsidR="00DD518A" w:rsidRPr="00BD403A" w:rsidRDefault="00442503" w:rsidP="004D3F9B">
      <w:pPr>
        <w:rPr>
          <w:rFonts w:ascii="Arial" w:hAnsi="Arial" w:cs="Arial"/>
          <w:sz w:val="20"/>
        </w:rPr>
      </w:pPr>
      <w:r w:rsidRPr="00BD403A">
        <w:rPr>
          <w:rFonts w:ascii="Arial" w:hAnsi="Arial" w:cs="Arial"/>
          <w:sz w:val="20"/>
        </w:rPr>
        <w:t xml:space="preserve">Many patients are </w:t>
      </w:r>
      <w:proofErr w:type="gramStart"/>
      <w:r w:rsidR="00DD518A" w:rsidRPr="00BD403A">
        <w:rPr>
          <w:rFonts w:ascii="Arial" w:hAnsi="Arial" w:cs="Arial"/>
          <w:sz w:val="20"/>
        </w:rPr>
        <w:t>referred</w:t>
      </w:r>
      <w:r w:rsidRPr="00BD403A">
        <w:rPr>
          <w:rFonts w:ascii="Arial" w:hAnsi="Arial" w:cs="Arial"/>
          <w:sz w:val="20"/>
        </w:rPr>
        <w:t xml:space="preserve"> </w:t>
      </w:r>
      <w:r w:rsidR="00DD518A" w:rsidRPr="00BD403A">
        <w:rPr>
          <w:rFonts w:ascii="Arial" w:hAnsi="Arial" w:cs="Arial"/>
          <w:sz w:val="20"/>
        </w:rPr>
        <w:t>back</w:t>
      </w:r>
      <w:proofErr w:type="gramEnd"/>
      <w:r w:rsidR="00DD518A" w:rsidRPr="00BD403A">
        <w:rPr>
          <w:rFonts w:ascii="Arial" w:hAnsi="Arial" w:cs="Arial"/>
          <w:sz w:val="20"/>
        </w:rPr>
        <w:t xml:space="preserve"> </w:t>
      </w:r>
      <w:r w:rsidRPr="00BD403A">
        <w:rPr>
          <w:rFonts w:ascii="Arial" w:hAnsi="Arial" w:cs="Arial"/>
          <w:sz w:val="20"/>
        </w:rPr>
        <w:t xml:space="preserve">to the GP </w:t>
      </w:r>
      <w:r w:rsidR="00DD518A" w:rsidRPr="00BD403A">
        <w:rPr>
          <w:rFonts w:ascii="Arial" w:hAnsi="Arial" w:cs="Arial"/>
          <w:sz w:val="20"/>
        </w:rPr>
        <w:t>unnecessarily</w:t>
      </w:r>
      <w:r w:rsidRPr="00BD403A">
        <w:rPr>
          <w:rFonts w:ascii="Arial" w:hAnsi="Arial" w:cs="Arial"/>
          <w:sz w:val="20"/>
        </w:rPr>
        <w:t xml:space="preserve"> which compromises good patient care and delays treatment as well as wasting resources</w:t>
      </w:r>
      <w:r w:rsidR="006D125C" w:rsidRPr="00DA325C">
        <w:rPr>
          <w:rFonts w:ascii="Arial" w:hAnsi="Arial" w:cs="Arial"/>
          <w:sz w:val="20"/>
        </w:rPr>
        <w:t xml:space="preserve"> </w:t>
      </w:r>
      <w:r w:rsidR="006D125C" w:rsidRPr="00BD403A">
        <w:rPr>
          <w:rFonts w:ascii="Arial" w:hAnsi="Arial" w:cs="Arial"/>
          <w:sz w:val="20"/>
        </w:rPr>
        <w:t>as well as being a safety risk if a patient falls through the net.</w:t>
      </w:r>
    </w:p>
    <w:p w14:paraId="53D4DBC8" w14:textId="77777777" w:rsidR="00442503" w:rsidRPr="00DA325C" w:rsidRDefault="00442503" w:rsidP="004D3F9B">
      <w:pPr>
        <w:rPr>
          <w:rFonts w:ascii="Arial" w:hAnsi="Arial" w:cs="Arial"/>
          <w:sz w:val="20"/>
        </w:rPr>
      </w:pPr>
    </w:p>
    <w:p w14:paraId="2283C630" w14:textId="39CBD293" w:rsidR="00070F5D" w:rsidRPr="00270867" w:rsidRDefault="00442503" w:rsidP="008C7FA5">
      <w:pPr>
        <w:pStyle w:val="ListParagraph"/>
        <w:numPr>
          <w:ilvl w:val="0"/>
          <w:numId w:val="50"/>
        </w:numPr>
        <w:rPr>
          <w:rFonts w:ascii="Arial" w:hAnsi="Arial" w:cs="Arial"/>
          <w:b/>
          <w:bCs/>
          <w:sz w:val="20"/>
          <w:szCs w:val="20"/>
        </w:rPr>
      </w:pPr>
      <w:r w:rsidRPr="00BD403A">
        <w:rPr>
          <w:rFonts w:ascii="Arial" w:hAnsi="Arial" w:cs="Arial"/>
          <w:b/>
          <w:bCs/>
          <w:sz w:val="20"/>
          <w:szCs w:val="20"/>
        </w:rPr>
        <w:t>Key Principles</w:t>
      </w:r>
    </w:p>
    <w:p w14:paraId="31CB9542" w14:textId="685786BF" w:rsidR="00442503" w:rsidRPr="00BD403A" w:rsidRDefault="00442503" w:rsidP="00A97EAD">
      <w:pPr>
        <w:rPr>
          <w:rFonts w:ascii="Arial" w:hAnsi="Arial" w:cs="Arial"/>
          <w:sz w:val="20"/>
        </w:rPr>
      </w:pPr>
      <w:r w:rsidRPr="00BD403A">
        <w:rPr>
          <w:rFonts w:ascii="Arial" w:hAnsi="Arial" w:cs="Arial"/>
          <w:sz w:val="20"/>
        </w:rPr>
        <w:t>Good orga</w:t>
      </w:r>
      <w:r w:rsidR="0079079E" w:rsidRPr="00BD403A">
        <w:rPr>
          <w:rFonts w:ascii="Arial" w:hAnsi="Arial" w:cs="Arial"/>
          <w:sz w:val="20"/>
        </w:rPr>
        <w:t>n</w:t>
      </w:r>
      <w:r w:rsidRPr="00BD403A">
        <w:rPr>
          <w:rFonts w:ascii="Arial" w:hAnsi="Arial" w:cs="Arial"/>
          <w:sz w:val="20"/>
        </w:rPr>
        <w:t>isation of care across th</w:t>
      </w:r>
      <w:r w:rsidR="004D3F9B" w:rsidRPr="00BD403A">
        <w:rPr>
          <w:rFonts w:ascii="Arial" w:hAnsi="Arial" w:cs="Arial"/>
          <w:sz w:val="20"/>
        </w:rPr>
        <w:t>e</w:t>
      </w:r>
      <w:r w:rsidRPr="00BD403A">
        <w:rPr>
          <w:rFonts w:ascii="Arial" w:hAnsi="Arial" w:cs="Arial"/>
          <w:sz w:val="20"/>
        </w:rPr>
        <w:t xml:space="preserve"> interf</w:t>
      </w:r>
      <w:r w:rsidR="0079079E" w:rsidRPr="00BD403A">
        <w:rPr>
          <w:rFonts w:ascii="Arial" w:hAnsi="Arial" w:cs="Arial"/>
          <w:sz w:val="20"/>
        </w:rPr>
        <w:t>ac</w:t>
      </w:r>
      <w:r w:rsidRPr="00BD403A">
        <w:rPr>
          <w:rFonts w:ascii="Arial" w:hAnsi="Arial" w:cs="Arial"/>
          <w:sz w:val="20"/>
        </w:rPr>
        <w:t>e</w:t>
      </w:r>
      <w:r w:rsidR="0079079E" w:rsidRPr="00BD403A">
        <w:rPr>
          <w:rFonts w:ascii="Arial" w:hAnsi="Arial" w:cs="Arial"/>
          <w:sz w:val="20"/>
        </w:rPr>
        <w:t xml:space="preserve"> </w:t>
      </w:r>
      <w:r w:rsidRPr="00BD403A">
        <w:rPr>
          <w:rFonts w:ascii="Arial" w:hAnsi="Arial" w:cs="Arial"/>
          <w:sz w:val="20"/>
        </w:rPr>
        <w:t xml:space="preserve">between general practice and secondary care </w:t>
      </w:r>
      <w:r w:rsidR="0079079E" w:rsidRPr="00BD403A">
        <w:rPr>
          <w:rFonts w:ascii="Arial" w:hAnsi="Arial" w:cs="Arial"/>
          <w:sz w:val="20"/>
        </w:rPr>
        <w:t>providers is essential in ensuring patients receive high quality care</w:t>
      </w:r>
      <w:r w:rsidR="00892D06" w:rsidRPr="00BD403A">
        <w:rPr>
          <w:rFonts w:ascii="Arial" w:hAnsi="Arial" w:cs="Arial"/>
          <w:sz w:val="20"/>
        </w:rPr>
        <w:t xml:space="preserve"> and are seen by the right professional, in the right place first time</w:t>
      </w:r>
      <w:r w:rsidR="0079079E" w:rsidRPr="00BD403A">
        <w:rPr>
          <w:rFonts w:ascii="Arial" w:hAnsi="Arial" w:cs="Arial"/>
          <w:sz w:val="20"/>
        </w:rPr>
        <w:t xml:space="preserve"> and in making the best use of clinical time and NHS resources in </w:t>
      </w:r>
      <w:r w:rsidR="00892D06" w:rsidRPr="00BD403A">
        <w:rPr>
          <w:rFonts w:ascii="Arial" w:hAnsi="Arial" w:cs="Arial"/>
          <w:sz w:val="20"/>
        </w:rPr>
        <w:t>all</w:t>
      </w:r>
      <w:r w:rsidR="0079079E" w:rsidRPr="00BD403A">
        <w:rPr>
          <w:rFonts w:ascii="Arial" w:hAnsi="Arial" w:cs="Arial"/>
          <w:sz w:val="20"/>
        </w:rPr>
        <w:t xml:space="preserve"> settings</w:t>
      </w:r>
      <w:r w:rsidR="00892D06" w:rsidRPr="00BD403A">
        <w:rPr>
          <w:rFonts w:ascii="Arial" w:hAnsi="Arial" w:cs="Arial"/>
          <w:sz w:val="20"/>
        </w:rPr>
        <w:t xml:space="preserve"> including community</w:t>
      </w:r>
      <w:r w:rsidR="0079079E" w:rsidRPr="00BD403A">
        <w:rPr>
          <w:rFonts w:ascii="Arial" w:hAnsi="Arial" w:cs="Arial"/>
          <w:sz w:val="20"/>
        </w:rPr>
        <w:t>.</w:t>
      </w:r>
    </w:p>
    <w:p w14:paraId="00D9455A" w14:textId="77777777" w:rsidR="00D1351F" w:rsidRPr="00BD403A" w:rsidRDefault="00D1351F" w:rsidP="00A97EAD">
      <w:pPr>
        <w:rPr>
          <w:rFonts w:ascii="Arial" w:hAnsi="Arial" w:cs="Arial"/>
          <w:sz w:val="20"/>
        </w:rPr>
      </w:pPr>
    </w:p>
    <w:p w14:paraId="7F4051EB" w14:textId="245C3B9E" w:rsidR="0079079E" w:rsidRPr="00BD403A" w:rsidRDefault="0079079E" w:rsidP="00A97EAD">
      <w:pPr>
        <w:rPr>
          <w:rFonts w:ascii="Arial" w:hAnsi="Arial" w:cs="Arial"/>
          <w:sz w:val="20"/>
        </w:rPr>
      </w:pPr>
      <w:r w:rsidRPr="00BD403A">
        <w:rPr>
          <w:rFonts w:ascii="Arial" w:hAnsi="Arial" w:cs="Arial"/>
          <w:sz w:val="20"/>
        </w:rPr>
        <w:t>It is important that there is clarity about situations in which provider clinic</w:t>
      </w:r>
      <w:r w:rsidR="004D3F9B" w:rsidRPr="00BD403A">
        <w:rPr>
          <w:rFonts w:ascii="Arial" w:hAnsi="Arial" w:cs="Arial"/>
          <w:sz w:val="20"/>
        </w:rPr>
        <w:t>ia</w:t>
      </w:r>
      <w:r w:rsidRPr="00BD403A">
        <w:rPr>
          <w:rFonts w:ascii="Arial" w:hAnsi="Arial" w:cs="Arial"/>
          <w:sz w:val="20"/>
        </w:rPr>
        <w:t xml:space="preserve">ns may make onward referrals. Where a patient has been referred to one service within a provider by the GP or has presented as an emergency, the provider clinician </w:t>
      </w:r>
      <w:r w:rsidR="006D125C" w:rsidRPr="00BD403A">
        <w:rPr>
          <w:rFonts w:ascii="Arial" w:hAnsi="Arial" w:cs="Arial"/>
          <w:sz w:val="20"/>
        </w:rPr>
        <w:t>should</w:t>
      </w:r>
      <w:r w:rsidRPr="00BD403A">
        <w:rPr>
          <w:rFonts w:ascii="Arial" w:hAnsi="Arial" w:cs="Arial"/>
          <w:sz w:val="20"/>
        </w:rPr>
        <w:t xml:space="preserve"> make an onward referral to other services without a need to go back to the GP, where:</w:t>
      </w:r>
    </w:p>
    <w:p w14:paraId="7331EAF4" w14:textId="308A8E44" w:rsidR="0079079E" w:rsidRPr="00270867" w:rsidRDefault="0079079E" w:rsidP="0079079E">
      <w:pPr>
        <w:pStyle w:val="ListParagraph"/>
        <w:numPr>
          <w:ilvl w:val="0"/>
          <w:numId w:val="49"/>
        </w:numPr>
        <w:rPr>
          <w:rFonts w:ascii="Arial" w:hAnsi="Arial" w:cs="Arial"/>
          <w:sz w:val="20"/>
          <w:szCs w:val="20"/>
        </w:rPr>
      </w:pPr>
      <w:r w:rsidRPr="00270867">
        <w:rPr>
          <w:rFonts w:ascii="Arial" w:hAnsi="Arial" w:cs="Arial"/>
          <w:sz w:val="20"/>
          <w:szCs w:val="20"/>
        </w:rPr>
        <w:t xml:space="preserve">The onward referral is directly related to the condition for which the original referral was </w:t>
      </w:r>
      <w:r w:rsidR="004D3F9B" w:rsidRPr="00270867">
        <w:rPr>
          <w:rFonts w:ascii="Arial" w:hAnsi="Arial" w:cs="Arial"/>
          <w:sz w:val="20"/>
          <w:szCs w:val="20"/>
        </w:rPr>
        <w:t>made,</w:t>
      </w:r>
      <w:r w:rsidRPr="00270867">
        <w:rPr>
          <w:rFonts w:ascii="Arial" w:hAnsi="Arial" w:cs="Arial"/>
          <w:sz w:val="20"/>
          <w:szCs w:val="20"/>
        </w:rPr>
        <w:t xml:space="preserve"> or which caused the emergency </w:t>
      </w:r>
      <w:r w:rsidR="00571248" w:rsidRPr="00270867">
        <w:rPr>
          <w:rFonts w:ascii="Arial" w:hAnsi="Arial" w:cs="Arial"/>
          <w:sz w:val="20"/>
          <w:szCs w:val="20"/>
        </w:rPr>
        <w:t>p</w:t>
      </w:r>
      <w:r w:rsidRPr="00270867">
        <w:rPr>
          <w:rFonts w:ascii="Arial" w:hAnsi="Arial" w:cs="Arial"/>
          <w:sz w:val="20"/>
          <w:szCs w:val="20"/>
        </w:rPr>
        <w:t>resentation</w:t>
      </w:r>
      <w:r w:rsidR="00892D06" w:rsidRPr="00270867">
        <w:rPr>
          <w:rFonts w:ascii="Arial" w:hAnsi="Arial" w:cs="Arial"/>
          <w:sz w:val="20"/>
          <w:szCs w:val="20"/>
        </w:rPr>
        <w:t xml:space="preserve"> (</w:t>
      </w:r>
      <w:proofErr w:type="gramStart"/>
      <w:r w:rsidR="00892D06" w:rsidRPr="00270867">
        <w:rPr>
          <w:rFonts w:ascii="Arial" w:hAnsi="Arial" w:cs="Arial"/>
          <w:sz w:val="20"/>
          <w:szCs w:val="20"/>
        </w:rPr>
        <w:t>taking into account</w:t>
      </w:r>
      <w:proofErr w:type="gramEnd"/>
      <w:r w:rsidR="00892D06" w:rsidRPr="00270867">
        <w:rPr>
          <w:rFonts w:ascii="Arial" w:hAnsi="Arial" w:cs="Arial"/>
          <w:sz w:val="20"/>
          <w:szCs w:val="20"/>
        </w:rPr>
        <w:t xml:space="preserve"> any locally agreed pathways and policies).</w:t>
      </w:r>
      <w:r w:rsidR="00D1351F" w:rsidRPr="00270867">
        <w:rPr>
          <w:rFonts w:ascii="Arial" w:hAnsi="Arial" w:cs="Arial"/>
          <w:sz w:val="20"/>
          <w:szCs w:val="20"/>
        </w:rPr>
        <w:t xml:space="preserve"> This includes across different organisations</w:t>
      </w:r>
      <w:r w:rsidR="00BD403A" w:rsidRPr="00270867">
        <w:rPr>
          <w:rFonts w:ascii="Arial" w:hAnsi="Arial" w:cs="Arial"/>
          <w:sz w:val="20"/>
          <w:szCs w:val="20"/>
        </w:rPr>
        <w:t>.</w:t>
      </w:r>
    </w:p>
    <w:p w14:paraId="3F6F96E7" w14:textId="2D6D91D5" w:rsidR="00892D06" w:rsidRPr="00270867" w:rsidRDefault="00892D06" w:rsidP="0079079E">
      <w:pPr>
        <w:pStyle w:val="ListParagraph"/>
        <w:numPr>
          <w:ilvl w:val="0"/>
          <w:numId w:val="49"/>
        </w:numPr>
        <w:rPr>
          <w:rFonts w:ascii="Arial" w:hAnsi="Arial" w:cs="Arial"/>
          <w:sz w:val="20"/>
          <w:szCs w:val="20"/>
        </w:rPr>
      </w:pPr>
      <w:r w:rsidRPr="00270867">
        <w:rPr>
          <w:rFonts w:ascii="Arial" w:hAnsi="Arial" w:cs="Arial"/>
          <w:sz w:val="20"/>
          <w:szCs w:val="20"/>
        </w:rPr>
        <w:t>Or the patient has an immediate</w:t>
      </w:r>
      <w:r w:rsidR="003C6E7B" w:rsidRPr="00270867">
        <w:rPr>
          <w:rFonts w:ascii="Arial" w:hAnsi="Arial" w:cs="Arial"/>
          <w:sz w:val="20"/>
          <w:szCs w:val="20"/>
        </w:rPr>
        <w:t xml:space="preserve"> or urgent (within 28 days)</w:t>
      </w:r>
      <w:r w:rsidRPr="00270867">
        <w:rPr>
          <w:rFonts w:ascii="Arial" w:hAnsi="Arial" w:cs="Arial"/>
          <w:sz w:val="20"/>
          <w:szCs w:val="20"/>
        </w:rPr>
        <w:t xml:space="preserve"> need for investigations or treatment </w:t>
      </w:r>
      <w:r w:rsidR="004D3F9B" w:rsidRPr="00270867">
        <w:rPr>
          <w:rFonts w:ascii="Arial" w:hAnsi="Arial" w:cs="Arial"/>
          <w:sz w:val="20"/>
          <w:szCs w:val="20"/>
        </w:rPr>
        <w:t>e.g.,</w:t>
      </w:r>
      <w:r w:rsidRPr="00270867">
        <w:rPr>
          <w:rFonts w:ascii="Arial" w:hAnsi="Arial" w:cs="Arial"/>
          <w:sz w:val="20"/>
          <w:szCs w:val="20"/>
        </w:rPr>
        <w:t xml:space="preserve"> cancer diagnosis or suspected cancer.</w:t>
      </w:r>
    </w:p>
    <w:p w14:paraId="0EE52192" w14:textId="0BBC193F" w:rsidR="00892D06" w:rsidRPr="00BD403A" w:rsidRDefault="00892D06" w:rsidP="00892D06">
      <w:pPr>
        <w:rPr>
          <w:rFonts w:ascii="Arial" w:hAnsi="Arial" w:cs="Arial"/>
          <w:sz w:val="20"/>
        </w:rPr>
      </w:pPr>
    </w:p>
    <w:p w14:paraId="410F2CBD" w14:textId="73444E6C" w:rsidR="00571248" w:rsidRPr="00BD403A" w:rsidRDefault="00892D06">
      <w:pPr>
        <w:rPr>
          <w:rFonts w:ascii="Arial" w:hAnsi="Arial" w:cs="Arial"/>
          <w:sz w:val="20"/>
        </w:rPr>
      </w:pPr>
      <w:r w:rsidRPr="00BD403A">
        <w:rPr>
          <w:rFonts w:ascii="Arial" w:hAnsi="Arial" w:cs="Arial"/>
          <w:sz w:val="20"/>
        </w:rPr>
        <w:t>Secondary care clinici</w:t>
      </w:r>
      <w:r w:rsidR="00571248" w:rsidRPr="00BD403A">
        <w:rPr>
          <w:rFonts w:ascii="Arial" w:hAnsi="Arial" w:cs="Arial"/>
          <w:sz w:val="20"/>
        </w:rPr>
        <w:t>a</w:t>
      </w:r>
      <w:r w:rsidRPr="00BD403A">
        <w:rPr>
          <w:rFonts w:ascii="Arial" w:hAnsi="Arial" w:cs="Arial"/>
          <w:sz w:val="20"/>
        </w:rPr>
        <w:t xml:space="preserve">ns should not refer onwards where the </w:t>
      </w:r>
      <w:r w:rsidR="004D3F9B" w:rsidRPr="00BD403A">
        <w:rPr>
          <w:rFonts w:ascii="Arial" w:hAnsi="Arial" w:cs="Arial"/>
          <w:sz w:val="20"/>
        </w:rPr>
        <w:t>patient’s</w:t>
      </w:r>
      <w:r w:rsidRPr="00BD403A">
        <w:rPr>
          <w:rFonts w:ascii="Arial" w:hAnsi="Arial" w:cs="Arial"/>
          <w:sz w:val="20"/>
        </w:rPr>
        <w:t xml:space="preserve"> conditi</w:t>
      </w:r>
      <w:r w:rsidR="00571248" w:rsidRPr="00BD403A">
        <w:rPr>
          <w:rFonts w:ascii="Arial" w:hAnsi="Arial" w:cs="Arial"/>
          <w:sz w:val="20"/>
        </w:rPr>
        <w:t>on</w:t>
      </w:r>
      <w:r w:rsidRPr="00BD403A">
        <w:rPr>
          <w:rFonts w:ascii="Arial" w:hAnsi="Arial" w:cs="Arial"/>
          <w:sz w:val="20"/>
        </w:rPr>
        <w:t xml:space="preserve"> is </w:t>
      </w:r>
      <w:r w:rsidR="0010232C" w:rsidRPr="00DA325C">
        <w:rPr>
          <w:rFonts w:ascii="Arial" w:hAnsi="Arial" w:cs="Arial"/>
          <w:b/>
          <w:bCs/>
          <w:sz w:val="20"/>
        </w:rPr>
        <w:t>both</w:t>
      </w:r>
      <w:r w:rsidR="0010232C" w:rsidRPr="00BD403A">
        <w:rPr>
          <w:rFonts w:ascii="Arial" w:hAnsi="Arial" w:cs="Arial"/>
          <w:sz w:val="20"/>
        </w:rPr>
        <w:t xml:space="preserve"> </w:t>
      </w:r>
      <w:r w:rsidRPr="00BD403A">
        <w:rPr>
          <w:rFonts w:ascii="Arial" w:hAnsi="Arial" w:cs="Arial"/>
          <w:sz w:val="20"/>
        </w:rPr>
        <w:t xml:space="preserve">non urgent </w:t>
      </w:r>
      <w:r w:rsidRPr="00DA325C">
        <w:rPr>
          <w:rFonts w:ascii="Arial" w:hAnsi="Arial" w:cs="Arial"/>
          <w:b/>
          <w:bCs/>
          <w:sz w:val="20"/>
        </w:rPr>
        <w:t>and</w:t>
      </w:r>
      <w:r w:rsidRPr="00BD403A">
        <w:rPr>
          <w:rFonts w:ascii="Arial" w:hAnsi="Arial" w:cs="Arial"/>
          <w:sz w:val="20"/>
        </w:rPr>
        <w:t xml:space="preserve"> where the condition is not directly related to the condition that the patients was referred for by their GP or emergency presentation. It would be expected in this case that the GP would decide if the locally agreed pathways </w:t>
      </w:r>
      <w:r w:rsidR="004D3F9B" w:rsidRPr="00BD403A">
        <w:rPr>
          <w:rFonts w:ascii="Arial" w:hAnsi="Arial" w:cs="Arial"/>
          <w:sz w:val="20"/>
        </w:rPr>
        <w:t>have</w:t>
      </w:r>
      <w:r w:rsidRPr="00BD403A">
        <w:rPr>
          <w:rFonts w:ascii="Arial" w:hAnsi="Arial" w:cs="Arial"/>
          <w:sz w:val="20"/>
        </w:rPr>
        <w:t xml:space="preserve"> been followed and completed in primary care and if not ensure they </w:t>
      </w:r>
      <w:r w:rsidR="004D3F9B" w:rsidRPr="00BD403A">
        <w:rPr>
          <w:rFonts w:ascii="Arial" w:hAnsi="Arial" w:cs="Arial"/>
          <w:sz w:val="20"/>
        </w:rPr>
        <w:t>have</w:t>
      </w:r>
      <w:r w:rsidRPr="00BD403A">
        <w:rPr>
          <w:rFonts w:ascii="Arial" w:hAnsi="Arial" w:cs="Arial"/>
          <w:sz w:val="20"/>
        </w:rPr>
        <w:t xml:space="preserve"> before making a referral.</w:t>
      </w:r>
      <w:r w:rsidR="00D1351F" w:rsidRPr="00BD403A">
        <w:rPr>
          <w:rFonts w:ascii="Arial" w:hAnsi="Arial" w:cs="Arial"/>
          <w:sz w:val="20"/>
        </w:rPr>
        <w:t xml:space="preserve"> </w:t>
      </w:r>
      <w:r w:rsidR="00571248" w:rsidRPr="00BD403A">
        <w:rPr>
          <w:rFonts w:ascii="Arial" w:hAnsi="Arial" w:cs="Arial"/>
          <w:sz w:val="20"/>
        </w:rPr>
        <w:t xml:space="preserve">A pathway approach should be </w:t>
      </w:r>
      <w:proofErr w:type="gramStart"/>
      <w:r w:rsidR="00571248" w:rsidRPr="00BD403A">
        <w:rPr>
          <w:rFonts w:ascii="Arial" w:hAnsi="Arial" w:cs="Arial"/>
          <w:sz w:val="20"/>
        </w:rPr>
        <w:t>followed at all times</w:t>
      </w:r>
      <w:proofErr w:type="gramEnd"/>
      <w:r w:rsidR="00571248" w:rsidRPr="00BD403A">
        <w:rPr>
          <w:rFonts w:ascii="Arial" w:hAnsi="Arial" w:cs="Arial"/>
          <w:sz w:val="20"/>
        </w:rPr>
        <w:t xml:space="preserve"> using agreed pathways, with seamless communication at all stages between care settings.</w:t>
      </w:r>
    </w:p>
    <w:p w14:paraId="3111BA6B" w14:textId="77777777" w:rsidR="00A43714" w:rsidRDefault="00A43714" w:rsidP="00A43714">
      <w:pPr>
        <w:widowControl/>
        <w:suppressAutoHyphens w:val="0"/>
        <w:autoSpaceDE w:val="0"/>
        <w:adjustRightInd w:val="0"/>
        <w:textAlignment w:val="auto"/>
        <w:rPr>
          <w:rFonts w:ascii="Arial" w:hAnsi="Arial" w:cs="Arial"/>
          <w:color w:val="000000"/>
          <w:kern w:val="0"/>
          <w:sz w:val="20"/>
        </w:rPr>
      </w:pPr>
    </w:p>
    <w:p w14:paraId="426CDE7B" w14:textId="242457D7" w:rsidR="00E8382E" w:rsidRDefault="00E8382E" w:rsidP="00E85C72">
      <w:pPr>
        <w:pStyle w:val="ListParagraph"/>
        <w:numPr>
          <w:ilvl w:val="0"/>
          <w:numId w:val="50"/>
        </w:numPr>
        <w:suppressAutoHyphens w:val="0"/>
        <w:autoSpaceDE w:val="0"/>
        <w:adjustRightInd w:val="0"/>
        <w:textAlignment w:val="auto"/>
        <w:rPr>
          <w:rFonts w:ascii="Arial" w:hAnsi="Arial" w:cs="Arial"/>
          <w:color w:val="000000"/>
          <w:kern w:val="0"/>
          <w:sz w:val="20"/>
        </w:rPr>
      </w:pPr>
      <w:r w:rsidRPr="00734651">
        <w:rPr>
          <w:rFonts w:ascii="Arial" w:hAnsi="Arial" w:cs="Arial"/>
          <w:b/>
          <w:bCs/>
          <w:color w:val="000000"/>
          <w:kern w:val="0"/>
          <w:sz w:val="20"/>
        </w:rPr>
        <w:t>Private-NHS C2C referrals</w:t>
      </w:r>
      <w:r w:rsidRPr="00734651">
        <w:rPr>
          <w:rFonts w:ascii="Arial" w:hAnsi="Arial" w:cs="Arial"/>
          <w:color w:val="000000"/>
          <w:kern w:val="0"/>
          <w:sz w:val="20"/>
        </w:rPr>
        <w:t>.</w:t>
      </w:r>
    </w:p>
    <w:p w14:paraId="5EB284D5" w14:textId="57FAEE2A" w:rsidR="00E85C72" w:rsidRDefault="00E85C72" w:rsidP="00E85C72">
      <w:pPr>
        <w:suppressAutoHyphens w:val="0"/>
        <w:autoSpaceDE w:val="0"/>
        <w:adjustRightInd w:val="0"/>
        <w:textAlignment w:val="auto"/>
        <w:rPr>
          <w:rFonts w:ascii="Arial" w:hAnsi="Arial" w:cs="Arial"/>
          <w:color w:val="000000"/>
          <w:kern w:val="0"/>
          <w:sz w:val="20"/>
        </w:rPr>
      </w:pPr>
      <w:r>
        <w:rPr>
          <w:rFonts w:ascii="Arial" w:hAnsi="Arial" w:cs="Arial"/>
          <w:color w:val="000000"/>
          <w:kern w:val="0"/>
          <w:sz w:val="20"/>
        </w:rPr>
        <w:t>Referrals from private providers are</w:t>
      </w:r>
      <w:r w:rsidR="00433A3C">
        <w:rPr>
          <w:rFonts w:ascii="Arial" w:hAnsi="Arial" w:cs="Arial"/>
          <w:color w:val="000000"/>
          <w:kern w:val="0"/>
          <w:sz w:val="20"/>
        </w:rPr>
        <w:t xml:space="preserve"> </w:t>
      </w:r>
      <w:r>
        <w:rPr>
          <w:rFonts w:ascii="Arial" w:hAnsi="Arial" w:cs="Arial"/>
          <w:color w:val="000000"/>
          <w:kern w:val="0"/>
          <w:sz w:val="20"/>
        </w:rPr>
        <w:t xml:space="preserve">increasing as patients seek </w:t>
      </w:r>
      <w:proofErr w:type="spellStart"/>
      <w:r>
        <w:rPr>
          <w:rFonts w:ascii="Arial" w:hAnsi="Arial" w:cs="Arial"/>
          <w:color w:val="000000"/>
          <w:kern w:val="0"/>
          <w:sz w:val="20"/>
        </w:rPr>
        <w:t>healhcare</w:t>
      </w:r>
      <w:proofErr w:type="spellEnd"/>
      <w:r>
        <w:rPr>
          <w:rFonts w:ascii="Arial" w:hAnsi="Arial" w:cs="Arial"/>
          <w:color w:val="000000"/>
          <w:kern w:val="0"/>
          <w:sz w:val="20"/>
        </w:rPr>
        <w:t xml:space="preserve"> advice and reassurance because of long waits in the NHS. Patients are entitled to do this and can be transferred into the NHS by private providers</w:t>
      </w:r>
      <w:r w:rsidR="00433A3C">
        <w:rPr>
          <w:rFonts w:ascii="Arial" w:hAnsi="Arial" w:cs="Arial"/>
          <w:color w:val="000000"/>
          <w:kern w:val="0"/>
          <w:sz w:val="20"/>
        </w:rPr>
        <w:t xml:space="preserve"> </w:t>
      </w:r>
      <w:proofErr w:type="gramStart"/>
      <w:r w:rsidR="00433A3C">
        <w:rPr>
          <w:rFonts w:ascii="Arial" w:hAnsi="Arial" w:cs="Arial"/>
          <w:color w:val="000000"/>
          <w:kern w:val="0"/>
          <w:sz w:val="20"/>
        </w:rPr>
        <w:t>as long as</w:t>
      </w:r>
      <w:proofErr w:type="gramEnd"/>
      <w:r w:rsidR="00433A3C">
        <w:rPr>
          <w:rFonts w:ascii="Arial" w:hAnsi="Arial" w:cs="Arial"/>
          <w:color w:val="000000"/>
          <w:kern w:val="0"/>
          <w:sz w:val="20"/>
        </w:rPr>
        <w:t xml:space="preserve"> patients already referred are not disadvantaged. Patients should be seen in turn (based on date of referral) unless they have a higher priority due to the medical condition they are being referred for.</w:t>
      </w:r>
    </w:p>
    <w:p w14:paraId="6821BF21" w14:textId="77777777" w:rsidR="00433A3C" w:rsidRDefault="00433A3C" w:rsidP="00E85C72">
      <w:pPr>
        <w:suppressAutoHyphens w:val="0"/>
        <w:autoSpaceDE w:val="0"/>
        <w:adjustRightInd w:val="0"/>
        <w:textAlignment w:val="auto"/>
        <w:rPr>
          <w:rFonts w:ascii="Arial" w:hAnsi="Arial" w:cs="Arial"/>
          <w:color w:val="000000"/>
          <w:kern w:val="0"/>
          <w:sz w:val="20"/>
        </w:rPr>
      </w:pPr>
    </w:p>
    <w:p w14:paraId="00785FD3" w14:textId="62DAF967" w:rsidR="00433A3C" w:rsidRPr="00734651" w:rsidRDefault="00433A3C" w:rsidP="00734651">
      <w:pPr>
        <w:suppressAutoHyphens w:val="0"/>
        <w:autoSpaceDE w:val="0"/>
        <w:adjustRightInd w:val="0"/>
        <w:textAlignment w:val="auto"/>
        <w:rPr>
          <w:rFonts w:ascii="Arial" w:hAnsi="Arial" w:cs="Arial"/>
          <w:color w:val="000000"/>
          <w:kern w:val="0"/>
          <w:sz w:val="20"/>
        </w:rPr>
      </w:pPr>
      <w:r>
        <w:rPr>
          <w:rFonts w:ascii="Arial" w:hAnsi="Arial" w:cs="Arial"/>
          <w:color w:val="000000"/>
          <w:kern w:val="0"/>
          <w:sz w:val="20"/>
        </w:rPr>
        <w:t>Secondary care must accept these referrals and not send them back to the GP to be rereferred. The private referrer should provide all relevant information relating to the patient, including diagnostics if carried out to avoid duplication. Ideally these patients should be referred via e-RS. Cancer referrals should be accepted into the cancer work stream in the usual way.</w:t>
      </w:r>
    </w:p>
    <w:p w14:paraId="0C91A26E" w14:textId="77777777" w:rsidR="00E85C72" w:rsidRDefault="00E85C72" w:rsidP="00A43714">
      <w:pPr>
        <w:widowControl/>
        <w:suppressAutoHyphens w:val="0"/>
        <w:autoSpaceDE w:val="0"/>
        <w:adjustRightInd w:val="0"/>
        <w:textAlignment w:val="auto"/>
        <w:rPr>
          <w:rFonts w:ascii="Arial" w:hAnsi="Arial" w:cs="Arial"/>
          <w:color w:val="000000"/>
          <w:kern w:val="0"/>
          <w:sz w:val="20"/>
        </w:rPr>
      </w:pPr>
    </w:p>
    <w:p w14:paraId="4177B468" w14:textId="77777777" w:rsidR="00E8382E" w:rsidRPr="00DA325C" w:rsidRDefault="00E8382E" w:rsidP="00A43714">
      <w:pPr>
        <w:widowControl/>
        <w:suppressAutoHyphens w:val="0"/>
        <w:autoSpaceDE w:val="0"/>
        <w:adjustRightInd w:val="0"/>
        <w:textAlignment w:val="auto"/>
        <w:rPr>
          <w:rFonts w:ascii="Arial" w:hAnsi="Arial" w:cs="Arial"/>
          <w:color w:val="000000"/>
          <w:kern w:val="0"/>
          <w:sz w:val="20"/>
        </w:rPr>
      </w:pPr>
    </w:p>
    <w:p w14:paraId="10295D69" w14:textId="71656D87" w:rsidR="00A43714" w:rsidRPr="00DA325C" w:rsidRDefault="00A43714" w:rsidP="004D3F9B">
      <w:pPr>
        <w:pStyle w:val="ListParagraph"/>
        <w:numPr>
          <w:ilvl w:val="0"/>
          <w:numId w:val="50"/>
        </w:numPr>
        <w:suppressAutoHyphens w:val="0"/>
        <w:autoSpaceDE w:val="0"/>
        <w:adjustRightInd w:val="0"/>
        <w:textAlignment w:val="auto"/>
        <w:rPr>
          <w:rFonts w:ascii="Arial" w:hAnsi="Arial" w:cs="Arial"/>
          <w:b/>
          <w:bCs/>
          <w:color w:val="000000"/>
          <w:kern w:val="0"/>
          <w:sz w:val="20"/>
          <w:szCs w:val="20"/>
        </w:rPr>
      </w:pPr>
      <w:r w:rsidRPr="00DA325C">
        <w:rPr>
          <w:rFonts w:ascii="Arial" w:hAnsi="Arial" w:cs="Arial"/>
          <w:b/>
          <w:bCs/>
          <w:color w:val="000000"/>
          <w:kern w:val="0"/>
          <w:sz w:val="20"/>
          <w:szCs w:val="20"/>
        </w:rPr>
        <w:t>Exclusion criteria</w:t>
      </w:r>
    </w:p>
    <w:p w14:paraId="1DF14403" w14:textId="3D406DD6" w:rsidR="00A43714" w:rsidRPr="00BD403A" w:rsidRDefault="00A43714" w:rsidP="00A43714">
      <w:pPr>
        <w:widowControl/>
        <w:suppressAutoHyphens w:val="0"/>
        <w:autoSpaceDE w:val="0"/>
        <w:adjustRightInd w:val="0"/>
        <w:textAlignment w:val="auto"/>
        <w:rPr>
          <w:rFonts w:ascii="Arial" w:hAnsi="Arial" w:cs="Arial"/>
          <w:color w:val="000000"/>
          <w:kern w:val="0"/>
          <w:sz w:val="20"/>
        </w:rPr>
      </w:pPr>
      <w:r w:rsidRPr="00BD403A">
        <w:rPr>
          <w:rFonts w:ascii="Arial" w:hAnsi="Arial" w:cs="Arial"/>
          <w:color w:val="000000"/>
          <w:kern w:val="0"/>
          <w:sz w:val="20"/>
        </w:rPr>
        <w:t xml:space="preserve">Where onward referral is thought to be appropriate but not permitted under the criteria detailed above, Consultants will advise Patients of the decision taken to </w:t>
      </w:r>
      <w:proofErr w:type="gramStart"/>
      <w:r w:rsidRPr="00BD403A">
        <w:rPr>
          <w:rFonts w:ascii="Arial" w:hAnsi="Arial" w:cs="Arial"/>
          <w:color w:val="000000"/>
          <w:kern w:val="0"/>
          <w:sz w:val="20"/>
        </w:rPr>
        <w:t>refer back</w:t>
      </w:r>
      <w:proofErr w:type="gramEnd"/>
      <w:r w:rsidRPr="00BD403A">
        <w:rPr>
          <w:rFonts w:ascii="Arial" w:hAnsi="Arial" w:cs="Arial"/>
          <w:color w:val="000000"/>
          <w:kern w:val="0"/>
          <w:sz w:val="20"/>
        </w:rPr>
        <w:t xml:space="preserve"> to the GP and </w:t>
      </w:r>
      <w:r w:rsidRPr="00BD403A">
        <w:rPr>
          <w:rFonts w:ascii="Arial" w:hAnsi="Arial" w:cs="Arial"/>
          <w:b/>
          <w:bCs/>
          <w:color w:val="000000"/>
          <w:kern w:val="0"/>
          <w:sz w:val="20"/>
        </w:rPr>
        <w:t xml:space="preserve">should not raise expectations that a further referral will be made </w:t>
      </w:r>
      <w:r w:rsidR="006D125C" w:rsidRPr="00BD403A">
        <w:rPr>
          <w:rFonts w:ascii="Arial" w:hAnsi="Arial" w:cs="Arial"/>
          <w:b/>
          <w:bCs/>
          <w:color w:val="000000"/>
          <w:kern w:val="0"/>
          <w:sz w:val="20"/>
        </w:rPr>
        <w:t>for</w:t>
      </w:r>
      <w:r w:rsidRPr="00BD403A">
        <w:rPr>
          <w:rFonts w:ascii="Arial" w:hAnsi="Arial" w:cs="Arial"/>
          <w:b/>
          <w:bCs/>
          <w:color w:val="000000"/>
          <w:kern w:val="0"/>
          <w:sz w:val="20"/>
        </w:rPr>
        <w:t xml:space="preserve"> them</w:t>
      </w:r>
      <w:r w:rsidRPr="00BD403A">
        <w:rPr>
          <w:rFonts w:ascii="Arial" w:hAnsi="Arial" w:cs="Arial"/>
          <w:color w:val="000000"/>
          <w:kern w:val="0"/>
          <w:sz w:val="20"/>
        </w:rPr>
        <w:t xml:space="preserve">. GPs will review the information received from the consultant and decide whether the condition can be managed within Primary or Community Care or if a referral is required. The GP is responsible for ensuring the patient is fully engaged in the process and for offering choice at point of referral. </w:t>
      </w:r>
    </w:p>
    <w:p w14:paraId="6BC2919E" w14:textId="77777777" w:rsidR="00CC4001" w:rsidRPr="00BD403A" w:rsidRDefault="00CC4001" w:rsidP="00A43714">
      <w:pPr>
        <w:widowControl/>
        <w:suppressAutoHyphens w:val="0"/>
        <w:autoSpaceDE w:val="0"/>
        <w:adjustRightInd w:val="0"/>
        <w:textAlignment w:val="auto"/>
        <w:rPr>
          <w:rFonts w:ascii="Arial" w:hAnsi="Arial" w:cs="Arial"/>
          <w:color w:val="000000"/>
          <w:kern w:val="0"/>
          <w:sz w:val="20"/>
        </w:rPr>
      </w:pPr>
    </w:p>
    <w:p w14:paraId="4BCAE9C7" w14:textId="240D53C5" w:rsidR="00A43714" w:rsidRPr="00BD403A" w:rsidRDefault="00A43714" w:rsidP="00A43714">
      <w:pPr>
        <w:widowControl/>
        <w:suppressAutoHyphens w:val="0"/>
        <w:autoSpaceDE w:val="0"/>
        <w:adjustRightInd w:val="0"/>
        <w:textAlignment w:val="auto"/>
        <w:rPr>
          <w:rFonts w:ascii="Arial" w:hAnsi="Arial" w:cs="Arial"/>
          <w:color w:val="000000"/>
          <w:kern w:val="0"/>
          <w:sz w:val="20"/>
        </w:rPr>
      </w:pPr>
      <w:r w:rsidRPr="00BD403A">
        <w:rPr>
          <w:rFonts w:ascii="Arial" w:hAnsi="Arial" w:cs="Arial"/>
          <w:color w:val="000000"/>
          <w:kern w:val="0"/>
          <w:sz w:val="20"/>
        </w:rPr>
        <w:t>Any delay in administrative processes should be minimised for those referrals sent back to the referrer. Referral</w:t>
      </w:r>
      <w:r w:rsidR="003D0189">
        <w:rPr>
          <w:rFonts w:ascii="Arial" w:hAnsi="Arial" w:cs="Arial"/>
          <w:color w:val="000000"/>
          <w:kern w:val="0"/>
          <w:sz w:val="20"/>
        </w:rPr>
        <w:t>s</w:t>
      </w:r>
      <w:r w:rsidRPr="00BD403A">
        <w:rPr>
          <w:rFonts w:ascii="Arial" w:hAnsi="Arial" w:cs="Arial"/>
          <w:color w:val="000000"/>
          <w:kern w:val="0"/>
          <w:sz w:val="20"/>
        </w:rPr>
        <w:t xml:space="preserve"> </w:t>
      </w:r>
      <w:r w:rsidR="00CC4001" w:rsidRPr="00BD403A">
        <w:rPr>
          <w:rFonts w:ascii="Arial" w:hAnsi="Arial" w:cs="Arial"/>
          <w:color w:val="000000"/>
          <w:kern w:val="0"/>
          <w:sz w:val="20"/>
        </w:rPr>
        <w:t>received through e-RS should be returned through this route. Referrals received via email (for legitimate exclusions) should be returned to practice generic inboxes to avoid relying on individual clinicians who may be absent.</w:t>
      </w:r>
    </w:p>
    <w:p w14:paraId="55779FD6" w14:textId="77777777" w:rsidR="00CC4001" w:rsidRPr="00BD403A" w:rsidRDefault="00CC4001" w:rsidP="00A43714">
      <w:pPr>
        <w:widowControl/>
        <w:suppressAutoHyphens w:val="0"/>
        <w:autoSpaceDE w:val="0"/>
        <w:adjustRightInd w:val="0"/>
        <w:textAlignment w:val="auto"/>
        <w:rPr>
          <w:rFonts w:ascii="Arial" w:hAnsi="Arial" w:cs="Arial"/>
          <w:color w:val="000000"/>
          <w:kern w:val="0"/>
          <w:sz w:val="20"/>
        </w:rPr>
      </w:pPr>
    </w:p>
    <w:p w14:paraId="01F005B7" w14:textId="2C46110D" w:rsidR="00A43714" w:rsidRPr="00BD403A" w:rsidRDefault="00E56057" w:rsidP="00A43714">
      <w:pPr>
        <w:widowControl/>
        <w:suppressAutoHyphens w:val="0"/>
        <w:autoSpaceDE w:val="0"/>
        <w:adjustRightInd w:val="0"/>
        <w:textAlignment w:val="auto"/>
        <w:rPr>
          <w:rFonts w:ascii="Arial" w:hAnsi="Arial" w:cs="Arial"/>
          <w:color w:val="000000"/>
          <w:kern w:val="0"/>
          <w:sz w:val="20"/>
        </w:rPr>
      </w:pPr>
      <w:r w:rsidRPr="00BD403A">
        <w:rPr>
          <w:rFonts w:ascii="Arial" w:hAnsi="Arial" w:cs="Arial"/>
          <w:color w:val="000000"/>
          <w:kern w:val="0"/>
          <w:sz w:val="20"/>
        </w:rPr>
        <w:t>Where a</w:t>
      </w:r>
      <w:r w:rsidRPr="00DA325C">
        <w:rPr>
          <w:rFonts w:ascii="Arial" w:hAnsi="Arial" w:cs="Arial"/>
          <w:color w:val="000000"/>
          <w:kern w:val="0"/>
          <w:sz w:val="20"/>
        </w:rPr>
        <w:t xml:space="preserve"> </w:t>
      </w:r>
      <w:r w:rsidRPr="00BD403A">
        <w:rPr>
          <w:rFonts w:ascii="Arial" w:hAnsi="Arial" w:cs="Arial"/>
          <w:color w:val="000000"/>
          <w:kern w:val="0"/>
          <w:sz w:val="20"/>
        </w:rPr>
        <w:t>c</w:t>
      </w:r>
      <w:r w:rsidR="000E0851" w:rsidRPr="00BD403A">
        <w:rPr>
          <w:rFonts w:ascii="Arial" w:hAnsi="Arial" w:cs="Arial"/>
          <w:color w:val="000000"/>
          <w:kern w:val="0"/>
          <w:sz w:val="20"/>
        </w:rPr>
        <w:t xml:space="preserve">ommissioning </w:t>
      </w:r>
      <w:r w:rsidRPr="00BD403A">
        <w:rPr>
          <w:rFonts w:ascii="Arial" w:hAnsi="Arial" w:cs="Arial"/>
          <w:color w:val="000000"/>
          <w:kern w:val="0"/>
          <w:sz w:val="20"/>
        </w:rPr>
        <w:t>p</w:t>
      </w:r>
      <w:r w:rsidR="00A43714" w:rsidRPr="00BD403A">
        <w:rPr>
          <w:rFonts w:ascii="Arial" w:hAnsi="Arial" w:cs="Arial"/>
          <w:color w:val="000000"/>
          <w:kern w:val="0"/>
          <w:sz w:val="20"/>
        </w:rPr>
        <w:t xml:space="preserve">olicy </w:t>
      </w:r>
      <w:r w:rsidR="000E0851" w:rsidRPr="00BD403A">
        <w:rPr>
          <w:rFonts w:ascii="Arial" w:hAnsi="Arial" w:cs="Arial"/>
          <w:color w:val="000000"/>
          <w:kern w:val="0"/>
          <w:sz w:val="20"/>
        </w:rPr>
        <w:t>exists</w:t>
      </w:r>
      <w:r w:rsidRPr="00BD403A">
        <w:rPr>
          <w:rFonts w:ascii="Arial" w:hAnsi="Arial" w:cs="Arial"/>
          <w:color w:val="000000"/>
          <w:kern w:val="0"/>
          <w:sz w:val="20"/>
        </w:rPr>
        <w:t xml:space="preserve"> in a particular clinical area</w:t>
      </w:r>
      <w:r w:rsidR="000E0851" w:rsidRPr="00BD403A">
        <w:rPr>
          <w:rFonts w:ascii="Arial" w:hAnsi="Arial" w:cs="Arial"/>
          <w:color w:val="000000"/>
          <w:kern w:val="0"/>
          <w:sz w:val="20"/>
        </w:rPr>
        <w:t xml:space="preserve"> </w:t>
      </w:r>
      <w:r w:rsidRPr="00BD403A">
        <w:rPr>
          <w:rFonts w:ascii="Arial" w:hAnsi="Arial" w:cs="Arial"/>
          <w:color w:val="000000"/>
          <w:kern w:val="0"/>
          <w:sz w:val="20"/>
        </w:rPr>
        <w:t xml:space="preserve">the referral should be reviewed for alignment with the policy. </w:t>
      </w:r>
      <w:proofErr w:type="spellStart"/>
      <w:r w:rsidRPr="00BD403A">
        <w:rPr>
          <w:rFonts w:ascii="Arial" w:hAnsi="Arial" w:cs="Arial"/>
          <w:color w:val="000000"/>
          <w:kern w:val="0"/>
          <w:sz w:val="20"/>
        </w:rPr>
        <w:t>BlueTeq</w:t>
      </w:r>
      <w:proofErr w:type="spellEnd"/>
      <w:r w:rsidRPr="00BD403A">
        <w:rPr>
          <w:rFonts w:ascii="Arial" w:hAnsi="Arial" w:cs="Arial"/>
          <w:color w:val="000000"/>
          <w:kern w:val="0"/>
          <w:sz w:val="20"/>
        </w:rPr>
        <w:t xml:space="preserve"> or an Individual funding request (IFR) should be completed </w:t>
      </w:r>
      <w:r w:rsidR="00433A3C">
        <w:rPr>
          <w:rFonts w:ascii="Arial" w:hAnsi="Arial" w:cs="Arial"/>
          <w:color w:val="000000"/>
          <w:kern w:val="0"/>
          <w:sz w:val="20"/>
        </w:rPr>
        <w:t xml:space="preserve">by the responsible clinician </w:t>
      </w:r>
      <w:r w:rsidRPr="00BD403A">
        <w:rPr>
          <w:rFonts w:ascii="Arial" w:hAnsi="Arial" w:cs="Arial"/>
          <w:color w:val="000000"/>
          <w:kern w:val="0"/>
          <w:sz w:val="20"/>
        </w:rPr>
        <w:t>to continue with treatment</w:t>
      </w:r>
      <w:r w:rsidR="000A15C1">
        <w:rPr>
          <w:rFonts w:ascii="Arial" w:hAnsi="Arial" w:cs="Arial"/>
          <w:color w:val="000000"/>
          <w:kern w:val="0"/>
          <w:sz w:val="20"/>
        </w:rPr>
        <w:t xml:space="preserve"> in secondary care</w:t>
      </w:r>
      <w:r w:rsidR="00734651">
        <w:rPr>
          <w:rFonts w:ascii="Arial" w:hAnsi="Arial" w:cs="Arial"/>
          <w:color w:val="000000"/>
          <w:kern w:val="0"/>
          <w:sz w:val="20"/>
        </w:rPr>
        <w:t xml:space="preserve"> not passed to the GP</w:t>
      </w:r>
      <w:r w:rsidRPr="00BD403A">
        <w:rPr>
          <w:rFonts w:ascii="Arial" w:hAnsi="Arial" w:cs="Arial"/>
          <w:color w:val="000000"/>
          <w:kern w:val="0"/>
          <w:sz w:val="20"/>
        </w:rPr>
        <w:t>.</w:t>
      </w:r>
    </w:p>
    <w:p w14:paraId="7017F3CD" w14:textId="77777777" w:rsidR="00A43714" w:rsidRPr="00BD403A" w:rsidRDefault="00A43714" w:rsidP="00A43714">
      <w:pPr>
        <w:widowControl/>
        <w:suppressAutoHyphens w:val="0"/>
        <w:autoSpaceDE w:val="0"/>
        <w:adjustRightInd w:val="0"/>
        <w:textAlignment w:val="auto"/>
        <w:rPr>
          <w:rFonts w:ascii="Arial" w:hAnsi="Arial" w:cs="Arial"/>
          <w:color w:val="000000"/>
          <w:kern w:val="0"/>
          <w:sz w:val="20"/>
        </w:rPr>
      </w:pPr>
    </w:p>
    <w:p w14:paraId="61F0F3C3" w14:textId="7E6167ED" w:rsidR="00A43714" w:rsidRPr="00BD403A" w:rsidRDefault="00A43714" w:rsidP="00A43714">
      <w:pPr>
        <w:widowControl/>
        <w:suppressAutoHyphens w:val="0"/>
        <w:autoSpaceDE w:val="0"/>
        <w:adjustRightInd w:val="0"/>
        <w:textAlignment w:val="auto"/>
        <w:rPr>
          <w:rFonts w:ascii="Arial" w:hAnsi="Arial" w:cs="Arial"/>
          <w:color w:val="000000"/>
          <w:kern w:val="0"/>
          <w:sz w:val="20"/>
        </w:rPr>
      </w:pPr>
      <w:r w:rsidRPr="00BD403A">
        <w:rPr>
          <w:rFonts w:ascii="Arial" w:hAnsi="Arial" w:cs="Arial"/>
          <w:color w:val="000000"/>
          <w:kern w:val="0"/>
          <w:sz w:val="20"/>
        </w:rPr>
        <w:t xml:space="preserve">In the event of a proposed referral being returned to a GP under the </w:t>
      </w:r>
      <w:r w:rsidR="00433A3C">
        <w:rPr>
          <w:rFonts w:ascii="Arial" w:hAnsi="Arial" w:cs="Arial"/>
          <w:color w:val="000000"/>
          <w:kern w:val="0"/>
          <w:sz w:val="20"/>
        </w:rPr>
        <w:t>e</w:t>
      </w:r>
      <w:r w:rsidRPr="00BD403A">
        <w:rPr>
          <w:rFonts w:ascii="Arial" w:hAnsi="Arial" w:cs="Arial"/>
          <w:color w:val="000000"/>
          <w:kern w:val="0"/>
          <w:sz w:val="20"/>
        </w:rPr>
        <w:t xml:space="preserve">xclusion </w:t>
      </w:r>
      <w:r w:rsidR="00433A3C">
        <w:rPr>
          <w:rFonts w:ascii="Arial" w:hAnsi="Arial" w:cs="Arial"/>
          <w:color w:val="000000"/>
          <w:kern w:val="0"/>
          <w:sz w:val="20"/>
        </w:rPr>
        <w:t>c</w:t>
      </w:r>
      <w:r w:rsidRPr="00BD403A">
        <w:rPr>
          <w:rFonts w:ascii="Arial" w:hAnsi="Arial" w:cs="Arial"/>
          <w:color w:val="000000"/>
          <w:kern w:val="0"/>
          <w:sz w:val="20"/>
        </w:rPr>
        <w:t>riteria the following details must be included by the Consultant as specific items for consideration by the GP</w:t>
      </w:r>
      <w:r w:rsidR="004D3F9B" w:rsidRPr="00BD403A">
        <w:rPr>
          <w:rFonts w:ascii="Arial" w:hAnsi="Arial" w:cs="Arial"/>
          <w:color w:val="000000"/>
          <w:kern w:val="0"/>
          <w:sz w:val="20"/>
        </w:rPr>
        <w:t>:</w:t>
      </w:r>
    </w:p>
    <w:p w14:paraId="73C46D28" w14:textId="5324AECD" w:rsidR="00A43714" w:rsidRPr="00DA325C" w:rsidRDefault="00A43714" w:rsidP="00DA325C">
      <w:pPr>
        <w:pStyle w:val="ListParagraph"/>
        <w:numPr>
          <w:ilvl w:val="0"/>
          <w:numId w:val="51"/>
        </w:numPr>
        <w:suppressAutoHyphens w:val="0"/>
        <w:autoSpaceDE w:val="0"/>
        <w:adjustRightInd w:val="0"/>
        <w:textAlignment w:val="auto"/>
        <w:rPr>
          <w:rFonts w:ascii="Arial" w:hAnsi="Arial" w:cs="Arial"/>
          <w:color w:val="000000"/>
          <w:kern w:val="0"/>
          <w:sz w:val="20"/>
        </w:rPr>
      </w:pPr>
      <w:r w:rsidRPr="00DA325C">
        <w:rPr>
          <w:rFonts w:ascii="Arial" w:hAnsi="Arial" w:cs="Arial"/>
          <w:color w:val="000000"/>
          <w:kern w:val="0"/>
          <w:sz w:val="20"/>
          <w:szCs w:val="20"/>
        </w:rPr>
        <w:t>What else has been found/nature of additional complaint/why might further treatment/referral</w:t>
      </w:r>
      <w:r w:rsidR="0080356D" w:rsidRPr="00DA325C">
        <w:rPr>
          <w:rFonts w:ascii="Arial" w:hAnsi="Arial" w:cs="Arial"/>
          <w:color w:val="000000"/>
          <w:kern w:val="0"/>
          <w:sz w:val="20"/>
          <w:szCs w:val="20"/>
        </w:rPr>
        <w:t xml:space="preserve"> might </w:t>
      </w:r>
      <w:r w:rsidRPr="00DA325C">
        <w:rPr>
          <w:rFonts w:ascii="Arial" w:hAnsi="Arial" w:cs="Arial"/>
          <w:color w:val="000000"/>
          <w:kern w:val="0"/>
          <w:sz w:val="20"/>
          <w:szCs w:val="20"/>
        </w:rPr>
        <w:t xml:space="preserve">need to be considered? </w:t>
      </w:r>
    </w:p>
    <w:p w14:paraId="519C9842" w14:textId="4152C9F6" w:rsidR="00A43714" w:rsidRPr="00DA325C" w:rsidRDefault="00A43714" w:rsidP="00DA325C">
      <w:pPr>
        <w:pStyle w:val="ListParagraph"/>
        <w:numPr>
          <w:ilvl w:val="0"/>
          <w:numId w:val="51"/>
        </w:numPr>
        <w:suppressAutoHyphens w:val="0"/>
        <w:autoSpaceDE w:val="0"/>
        <w:adjustRightInd w:val="0"/>
        <w:textAlignment w:val="auto"/>
        <w:rPr>
          <w:rFonts w:ascii="Arial" w:hAnsi="Arial" w:cs="Arial"/>
          <w:color w:val="000000"/>
          <w:kern w:val="0"/>
          <w:sz w:val="20"/>
        </w:rPr>
      </w:pPr>
      <w:r w:rsidRPr="00DA325C">
        <w:rPr>
          <w:rFonts w:ascii="Arial" w:hAnsi="Arial" w:cs="Arial"/>
          <w:color w:val="000000"/>
          <w:kern w:val="0"/>
          <w:sz w:val="20"/>
          <w:szCs w:val="20"/>
        </w:rPr>
        <w:t xml:space="preserve">What is the consultants risk assessment of the patient? </w:t>
      </w:r>
    </w:p>
    <w:p w14:paraId="7F89F836" w14:textId="201AB3E4" w:rsidR="00A43714" w:rsidRPr="00DA325C" w:rsidRDefault="00A43714" w:rsidP="00DA325C">
      <w:pPr>
        <w:pStyle w:val="ListParagraph"/>
        <w:numPr>
          <w:ilvl w:val="0"/>
          <w:numId w:val="51"/>
        </w:numPr>
        <w:suppressAutoHyphens w:val="0"/>
        <w:autoSpaceDE w:val="0"/>
        <w:adjustRightInd w:val="0"/>
        <w:textAlignment w:val="auto"/>
        <w:rPr>
          <w:rFonts w:ascii="Arial" w:hAnsi="Arial" w:cs="Arial"/>
          <w:color w:val="000000"/>
          <w:kern w:val="0"/>
          <w:sz w:val="20"/>
        </w:rPr>
      </w:pPr>
      <w:r w:rsidRPr="00DA325C">
        <w:rPr>
          <w:rFonts w:ascii="Arial" w:hAnsi="Arial" w:cs="Arial"/>
          <w:color w:val="000000"/>
          <w:kern w:val="0"/>
          <w:sz w:val="20"/>
          <w:szCs w:val="20"/>
        </w:rPr>
        <w:t xml:space="preserve">What has the patient been told? (Note: Further consultation with the GP will not necessarily result in another referral or hospital visit). </w:t>
      </w:r>
    </w:p>
    <w:p w14:paraId="6B042075" w14:textId="7A4EE72D" w:rsidR="00A43714" w:rsidRPr="00DA325C" w:rsidRDefault="00A43714" w:rsidP="00DA325C">
      <w:pPr>
        <w:pStyle w:val="ListParagraph"/>
        <w:numPr>
          <w:ilvl w:val="0"/>
          <w:numId w:val="51"/>
        </w:numPr>
        <w:suppressAutoHyphens w:val="0"/>
        <w:autoSpaceDE w:val="0"/>
        <w:adjustRightInd w:val="0"/>
        <w:textAlignment w:val="auto"/>
        <w:rPr>
          <w:rFonts w:ascii="Arial" w:hAnsi="Arial" w:cs="Arial"/>
          <w:color w:val="000000"/>
          <w:kern w:val="0"/>
          <w:sz w:val="20"/>
        </w:rPr>
      </w:pPr>
      <w:r w:rsidRPr="00DA325C">
        <w:rPr>
          <w:rFonts w:ascii="Arial" w:hAnsi="Arial" w:cs="Arial"/>
          <w:color w:val="000000"/>
          <w:kern w:val="0"/>
          <w:sz w:val="20"/>
          <w:szCs w:val="20"/>
        </w:rPr>
        <w:t>This is particularly important; Consultants will be expected to advise Patients (A&amp;E patients in particular) that the GP or other referrer will make the decision about further management of the condition. (</w:t>
      </w:r>
      <w:r w:rsidR="004D3F9B" w:rsidRPr="00DA325C">
        <w:rPr>
          <w:rFonts w:ascii="Arial" w:hAnsi="Arial" w:cs="Arial"/>
          <w:color w:val="000000"/>
          <w:kern w:val="0"/>
          <w:sz w:val="20"/>
          <w:szCs w:val="20"/>
        </w:rPr>
        <w:t>e.g.,</w:t>
      </w:r>
      <w:r w:rsidRPr="00DA325C">
        <w:rPr>
          <w:rFonts w:ascii="Arial" w:hAnsi="Arial" w:cs="Arial"/>
          <w:color w:val="000000"/>
          <w:kern w:val="0"/>
          <w:sz w:val="20"/>
          <w:szCs w:val="20"/>
        </w:rPr>
        <w:t xml:space="preserve"> a suitable form of words such as “I have told the patient that they should </w:t>
      </w:r>
      <w:r w:rsidR="000A15C1">
        <w:rPr>
          <w:rFonts w:ascii="Arial" w:hAnsi="Arial" w:cs="Arial"/>
          <w:color w:val="000000"/>
          <w:kern w:val="0"/>
          <w:sz w:val="20"/>
          <w:szCs w:val="20"/>
        </w:rPr>
        <w:t xml:space="preserve">consult with </w:t>
      </w:r>
      <w:r w:rsidRPr="00DA325C">
        <w:rPr>
          <w:rFonts w:ascii="Arial" w:hAnsi="Arial" w:cs="Arial"/>
          <w:color w:val="000000"/>
          <w:kern w:val="0"/>
          <w:sz w:val="20"/>
          <w:szCs w:val="20"/>
        </w:rPr>
        <w:t xml:space="preserve">you for the further management of condition </w:t>
      </w:r>
      <w:proofErr w:type="spellStart"/>
      <w:r w:rsidRPr="00DA325C">
        <w:rPr>
          <w:rFonts w:ascii="Arial" w:hAnsi="Arial" w:cs="Arial"/>
          <w:color w:val="000000"/>
          <w:kern w:val="0"/>
          <w:sz w:val="20"/>
          <w:szCs w:val="20"/>
        </w:rPr>
        <w:t>yyy</w:t>
      </w:r>
      <w:proofErr w:type="spellEnd"/>
      <w:r w:rsidRPr="00DA325C">
        <w:rPr>
          <w:rFonts w:ascii="Arial" w:hAnsi="Arial" w:cs="Arial"/>
          <w:color w:val="000000"/>
          <w:kern w:val="0"/>
          <w:sz w:val="20"/>
          <w:szCs w:val="20"/>
        </w:rPr>
        <w:t xml:space="preserve">” would be acceptable. </w:t>
      </w:r>
      <w:r w:rsidR="00CC4001" w:rsidRPr="00DA325C">
        <w:rPr>
          <w:rFonts w:ascii="Arial" w:hAnsi="Arial" w:cs="Arial"/>
          <w:color w:val="000000"/>
          <w:kern w:val="0"/>
          <w:sz w:val="20"/>
          <w:szCs w:val="20"/>
        </w:rPr>
        <w:t>A referral returned to the GP should not ask the GP to make a referral to another specialty</w:t>
      </w:r>
      <w:r w:rsidR="000A15C1">
        <w:rPr>
          <w:rFonts w:ascii="Arial" w:hAnsi="Arial" w:cs="Arial"/>
          <w:color w:val="000000"/>
          <w:kern w:val="0"/>
          <w:sz w:val="20"/>
          <w:szCs w:val="20"/>
        </w:rPr>
        <w:t xml:space="preserve"> That should be done by the consultant in secondary care if appropriate.</w:t>
      </w:r>
    </w:p>
    <w:p w14:paraId="65310D1E" w14:textId="5143E715" w:rsidR="000E0851" w:rsidRPr="00BD403A" w:rsidRDefault="000E0851" w:rsidP="00734651">
      <w:pPr>
        <w:pStyle w:val="Default"/>
        <w:ind w:left="360"/>
        <w:rPr>
          <w:rFonts w:cs="Arial"/>
          <w:kern w:val="0"/>
          <w:sz w:val="20"/>
        </w:rPr>
      </w:pPr>
    </w:p>
    <w:p w14:paraId="376BE64A" w14:textId="77777777" w:rsidR="000E0851" w:rsidRPr="00DA325C" w:rsidRDefault="000E0851" w:rsidP="000E0851">
      <w:pPr>
        <w:pStyle w:val="Default"/>
        <w:rPr>
          <w:rFonts w:cs="Arial"/>
          <w:kern w:val="0"/>
          <w:sz w:val="20"/>
        </w:rPr>
      </w:pPr>
    </w:p>
    <w:p w14:paraId="25D12A51" w14:textId="47B87C6B" w:rsidR="000E0851" w:rsidRPr="00DA325C" w:rsidRDefault="000E0851" w:rsidP="004D3F9B">
      <w:pPr>
        <w:pStyle w:val="ListParagraph"/>
        <w:numPr>
          <w:ilvl w:val="0"/>
          <w:numId w:val="50"/>
        </w:numPr>
        <w:suppressAutoHyphens w:val="0"/>
        <w:autoSpaceDE w:val="0"/>
        <w:adjustRightInd w:val="0"/>
        <w:textAlignment w:val="auto"/>
        <w:rPr>
          <w:rFonts w:ascii="Arial" w:hAnsi="Arial" w:cs="Arial"/>
          <w:b/>
          <w:bCs/>
          <w:color w:val="000000"/>
          <w:kern w:val="0"/>
          <w:sz w:val="20"/>
          <w:szCs w:val="20"/>
        </w:rPr>
      </w:pPr>
      <w:r w:rsidRPr="00DA325C">
        <w:rPr>
          <w:rFonts w:ascii="Arial" w:hAnsi="Arial" w:cs="Arial"/>
          <w:b/>
          <w:bCs/>
          <w:color w:val="000000"/>
          <w:kern w:val="0"/>
          <w:sz w:val="20"/>
          <w:szCs w:val="20"/>
        </w:rPr>
        <w:t xml:space="preserve">Commissioned community services </w:t>
      </w:r>
    </w:p>
    <w:p w14:paraId="3E04D2E7" w14:textId="4215BBCF" w:rsidR="00270867" w:rsidRDefault="000E0851" w:rsidP="000E0851">
      <w:pPr>
        <w:rPr>
          <w:rFonts w:ascii="Arial" w:hAnsi="Arial" w:cs="Arial"/>
          <w:color w:val="000000"/>
          <w:kern w:val="0"/>
          <w:sz w:val="20"/>
        </w:rPr>
      </w:pPr>
      <w:r w:rsidRPr="00BD403A">
        <w:rPr>
          <w:rFonts w:ascii="Arial" w:hAnsi="Arial" w:cs="Arial"/>
          <w:color w:val="000000"/>
          <w:kern w:val="0"/>
          <w:sz w:val="20"/>
        </w:rPr>
        <w:t>When Consultants are undertaking onward referral that meet the inclusion criteria, if there is a commissioned community service that exists the referral should be made to the relevant Community Service as a default position. Examples include Community Gynaecology Service, Community diabetes service, community respiratory service etc.</w:t>
      </w:r>
    </w:p>
    <w:p w14:paraId="4DA67252" w14:textId="77777777" w:rsidR="00270867" w:rsidRPr="00BD403A" w:rsidRDefault="00270867" w:rsidP="000E0851">
      <w:pPr>
        <w:rPr>
          <w:rFonts w:ascii="Arial" w:hAnsi="Arial" w:cs="Arial"/>
          <w:color w:val="000000"/>
          <w:kern w:val="0"/>
          <w:sz w:val="20"/>
        </w:rPr>
      </w:pPr>
    </w:p>
    <w:p w14:paraId="6E902E42" w14:textId="2C4B86A0" w:rsidR="00734651" w:rsidRPr="00734651" w:rsidRDefault="000A15C1" w:rsidP="00734651">
      <w:pPr>
        <w:pStyle w:val="ListParagraph"/>
        <w:numPr>
          <w:ilvl w:val="0"/>
          <w:numId w:val="50"/>
        </w:numPr>
        <w:rPr>
          <w:rFonts w:ascii="Arial" w:hAnsi="Arial" w:cs="Arial"/>
          <w:b/>
          <w:bCs/>
          <w:kern w:val="0"/>
          <w:sz w:val="20"/>
        </w:rPr>
      </w:pPr>
      <w:r w:rsidRPr="00734651">
        <w:rPr>
          <w:rFonts w:ascii="Arial" w:hAnsi="Arial" w:cs="Arial"/>
          <w:b/>
          <w:bCs/>
          <w:kern w:val="0"/>
          <w:sz w:val="20"/>
        </w:rPr>
        <w:t>Proformas</w:t>
      </w:r>
    </w:p>
    <w:p w14:paraId="3DF58617" w14:textId="2295F978" w:rsidR="00350F9E" w:rsidRPr="00734651" w:rsidRDefault="00350F9E" w:rsidP="00734651">
      <w:pPr>
        <w:rPr>
          <w:rFonts w:ascii="Arial" w:hAnsi="Arial" w:cs="Arial"/>
          <w:sz w:val="20"/>
        </w:rPr>
      </w:pPr>
      <w:proofErr w:type="spellStart"/>
      <w:r w:rsidRPr="00734651">
        <w:rPr>
          <w:rFonts w:ascii="Arial" w:hAnsi="Arial" w:cs="Arial"/>
          <w:sz w:val="20"/>
        </w:rPr>
        <w:t>Proformas</w:t>
      </w:r>
      <w:proofErr w:type="spellEnd"/>
      <w:r w:rsidRPr="00734651">
        <w:rPr>
          <w:rFonts w:ascii="Arial" w:hAnsi="Arial" w:cs="Arial"/>
          <w:sz w:val="20"/>
        </w:rPr>
        <w:t xml:space="preserve"> </w:t>
      </w:r>
      <w:r w:rsidRPr="00734651">
        <w:rPr>
          <w:rFonts w:ascii="Arial" w:hAnsi="Arial" w:cs="Arial"/>
          <w:sz w:val="20"/>
        </w:rPr>
        <w:t>aim</w:t>
      </w:r>
      <w:r w:rsidRPr="00734651">
        <w:rPr>
          <w:rFonts w:ascii="Arial" w:hAnsi="Arial" w:cs="Arial"/>
          <w:sz w:val="20"/>
        </w:rPr>
        <w:t xml:space="preserve"> to standardi</w:t>
      </w:r>
      <w:r w:rsidRPr="00734651">
        <w:rPr>
          <w:rFonts w:ascii="Arial" w:hAnsi="Arial" w:cs="Arial"/>
          <w:sz w:val="20"/>
        </w:rPr>
        <w:t>s</w:t>
      </w:r>
      <w:r w:rsidRPr="00734651">
        <w:rPr>
          <w:rFonts w:ascii="Arial" w:hAnsi="Arial" w:cs="Arial"/>
          <w:sz w:val="20"/>
        </w:rPr>
        <w:t xml:space="preserve">e the transfer of an agreed set of information between </w:t>
      </w:r>
      <w:proofErr w:type="gramStart"/>
      <w:r w:rsidRPr="00734651">
        <w:rPr>
          <w:rFonts w:ascii="Arial" w:hAnsi="Arial" w:cs="Arial"/>
          <w:sz w:val="20"/>
        </w:rPr>
        <w:t>providers,  and</w:t>
      </w:r>
      <w:proofErr w:type="gramEnd"/>
      <w:r w:rsidRPr="00734651">
        <w:rPr>
          <w:rFonts w:ascii="Arial" w:hAnsi="Arial" w:cs="Arial"/>
          <w:sz w:val="20"/>
        </w:rPr>
        <w:t xml:space="preserve"> their use is encouraged where it is mutually beneficial for all parties.  There is no obligation, however, for referrers to use any particular </w:t>
      </w:r>
      <w:proofErr w:type="gramStart"/>
      <w:r w:rsidRPr="00734651">
        <w:rPr>
          <w:rFonts w:ascii="Arial" w:hAnsi="Arial" w:cs="Arial"/>
          <w:sz w:val="20"/>
        </w:rPr>
        <w:t>proforma,  nor</w:t>
      </w:r>
      <w:proofErr w:type="gramEnd"/>
      <w:r w:rsidRPr="00734651">
        <w:rPr>
          <w:rFonts w:ascii="Arial" w:hAnsi="Arial" w:cs="Arial"/>
          <w:sz w:val="20"/>
        </w:rPr>
        <w:t xml:space="preserve"> should providers seek to “reject”  or delay a referral until their preferred proforma is used.  For the avoidance of doubt, a provider should not ask a patient’s GP to re-do a C2C referral with their preferred proforma.</w:t>
      </w:r>
    </w:p>
    <w:p w14:paraId="09219165" w14:textId="77777777" w:rsidR="00350F9E" w:rsidRDefault="00350F9E" w:rsidP="00350F9E">
      <w:pPr>
        <w:rPr>
          <w:rFonts w:ascii="Aptos" w:hAnsi="Aptos"/>
          <w:color w:val="0E2841"/>
          <w:szCs w:val="24"/>
        </w:rPr>
      </w:pPr>
    </w:p>
    <w:p w14:paraId="3F85CDE3" w14:textId="5D0EE364" w:rsidR="00723B83" w:rsidRPr="00734651" w:rsidRDefault="000A15C1" w:rsidP="00734651">
      <w:pPr>
        <w:suppressAutoHyphens w:val="0"/>
        <w:autoSpaceDE w:val="0"/>
        <w:adjustRightInd w:val="0"/>
        <w:ind w:left="360"/>
        <w:textAlignment w:val="auto"/>
        <w:rPr>
          <w:rFonts w:ascii="Arial" w:hAnsi="Arial" w:cs="Arial"/>
          <w:b/>
          <w:bCs/>
          <w:color w:val="000000"/>
          <w:kern w:val="0"/>
          <w:sz w:val="20"/>
        </w:rPr>
      </w:pPr>
      <w:r>
        <w:rPr>
          <w:rFonts w:ascii="Arial" w:hAnsi="Arial" w:cs="Arial"/>
          <w:b/>
          <w:bCs/>
          <w:color w:val="000000"/>
          <w:kern w:val="0"/>
          <w:sz w:val="20"/>
        </w:rPr>
        <w:t xml:space="preserve">9. </w:t>
      </w:r>
      <w:r w:rsidR="00723B83" w:rsidRPr="00734651">
        <w:rPr>
          <w:rFonts w:ascii="Arial" w:hAnsi="Arial" w:cs="Arial"/>
          <w:b/>
          <w:bCs/>
          <w:color w:val="000000"/>
          <w:kern w:val="0"/>
          <w:sz w:val="20"/>
        </w:rPr>
        <w:t>Categories of Referral</w:t>
      </w:r>
    </w:p>
    <w:tbl>
      <w:tblPr>
        <w:tblW w:w="15189"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3"/>
        <w:gridCol w:w="1716"/>
        <w:gridCol w:w="10544"/>
        <w:gridCol w:w="1276"/>
      </w:tblGrid>
      <w:tr w:rsidR="00BD403A" w:rsidRPr="00BD403A" w14:paraId="06757159" w14:textId="77777777" w:rsidTr="00BD403A">
        <w:trPr>
          <w:trHeight w:val="668"/>
        </w:trPr>
        <w:tc>
          <w:tcPr>
            <w:tcW w:w="1653" w:type="dxa"/>
            <w:shd w:val="clear" w:color="auto" w:fill="D9D9D9" w:themeFill="background1" w:themeFillShade="D9"/>
          </w:tcPr>
          <w:p w14:paraId="07747DD6" w14:textId="6738BF01" w:rsidR="000E0851" w:rsidRPr="00DA325C" w:rsidRDefault="00052B2E" w:rsidP="000E0851">
            <w:pPr>
              <w:widowControl/>
              <w:suppressAutoHyphens w:val="0"/>
              <w:autoSpaceDE w:val="0"/>
              <w:adjustRightInd w:val="0"/>
              <w:textAlignment w:val="auto"/>
              <w:rPr>
                <w:rFonts w:ascii="Arial" w:hAnsi="Arial" w:cs="Arial"/>
                <w:color w:val="000000"/>
                <w:kern w:val="0"/>
                <w:sz w:val="20"/>
              </w:rPr>
            </w:pPr>
            <w:r w:rsidRPr="00DA325C">
              <w:rPr>
                <w:rFonts w:ascii="Arial" w:hAnsi="Arial" w:cs="Arial"/>
                <w:b/>
                <w:bCs/>
                <w:color w:val="000000"/>
                <w:kern w:val="0"/>
                <w:sz w:val="20"/>
              </w:rPr>
              <w:t>Re</w:t>
            </w:r>
            <w:r w:rsidRPr="00DA325C">
              <w:rPr>
                <w:rFonts w:ascii="Arial" w:hAnsi="Arial" w:cs="Arial"/>
                <w:color w:val="000000"/>
                <w:kern w:val="0"/>
                <w:sz w:val="20"/>
              </w:rPr>
              <w:t>-</w:t>
            </w:r>
            <w:r w:rsidRPr="00DA325C">
              <w:rPr>
                <w:rFonts w:ascii="Arial" w:hAnsi="Arial" w:cs="Arial"/>
                <w:b/>
                <w:bCs/>
                <w:color w:val="000000"/>
                <w:kern w:val="0"/>
                <w:sz w:val="20"/>
              </w:rPr>
              <w:t>r</w:t>
            </w:r>
            <w:r w:rsidR="000E0851" w:rsidRPr="00DA325C">
              <w:rPr>
                <w:rFonts w:ascii="Arial" w:hAnsi="Arial" w:cs="Arial"/>
                <w:b/>
                <w:bCs/>
                <w:color w:val="000000"/>
                <w:kern w:val="0"/>
                <w:sz w:val="20"/>
              </w:rPr>
              <w:t xml:space="preserve">eferral Category </w:t>
            </w:r>
          </w:p>
        </w:tc>
        <w:tc>
          <w:tcPr>
            <w:tcW w:w="1716" w:type="dxa"/>
            <w:shd w:val="clear" w:color="auto" w:fill="D9D9D9" w:themeFill="background1" w:themeFillShade="D9"/>
          </w:tcPr>
          <w:p w14:paraId="1B0C2202" w14:textId="77777777" w:rsidR="000E0851" w:rsidRPr="00DA325C" w:rsidRDefault="000E0851" w:rsidP="000E0851">
            <w:pPr>
              <w:widowControl/>
              <w:suppressAutoHyphens w:val="0"/>
              <w:autoSpaceDE w:val="0"/>
              <w:adjustRightInd w:val="0"/>
              <w:textAlignment w:val="auto"/>
              <w:rPr>
                <w:rFonts w:ascii="Arial" w:hAnsi="Arial" w:cs="Arial"/>
                <w:color w:val="000000"/>
                <w:kern w:val="0"/>
                <w:sz w:val="20"/>
              </w:rPr>
            </w:pPr>
            <w:r w:rsidRPr="00BD403A">
              <w:rPr>
                <w:rFonts w:ascii="Arial" w:hAnsi="Arial" w:cs="Arial"/>
                <w:b/>
                <w:bCs/>
                <w:color w:val="000000"/>
                <w:kern w:val="0"/>
                <w:sz w:val="20"/>
              </w:rPr>
              <w:t xml:space="preserve">Referral Setting or Source </w:t>
            </w:r>
          </w:p>
          <w:p w14:paraId="3B816119" w14:textId="14BDBA42" w:rsidR="000E0851" w:rsidRPr="00DA325C" w:rsidRDefault="000E0851" w:rsidP="000E0851">
            <w:pPr>
              <w:widowControl/>
              <w:suppressAutoHyphens w:val="0"/>
              <w:autoSpaceDE w:val="0"/>
              <w:adjustRightInd w:val="0"/>
              <w:textAlignment w:val="auto"/>
              <w:rPr>
                <w:rFonts w:ascii="Arial" w:hAnsi="Arial" w:cs="Arial"/>
                <w:color w:val="000000"/>
                <w:kern w:val="0"/>
                <w:sz w:val="20"/>
              </w:rPr>
            </w:pPr>
            <w:r w:rsidRPr="00BD403A">
              <w:rPr>
                <w:rFonts w:ascii="Arial" w:hAnsi="Arial" w:cs="Arial"/>
                <w:b/>
                <w:bCs/>
                <w:color w:val="000000"/>
                <w:kern w:val="0"/>
                <w:sz w:val="20"/>
              </w:rPr>
              <w:t>(</w:t>
            </w:r>
            <w:r w:rsidR="004D3F9B" w:rsidRPr="00BD403A">
              <w:rPr>
                <w:rFonts w:ascii="Arial" w:hAnsi="Arial" w:cs="Arial"/>
                <w:b/>
                <w:bCs/>
                <w:color w:val="000000"/>
                <w:kern w:val="0"/>
                <w:sz w:val="20"/>
              </w:rPr>
              <w:t xml:space="preserve">e.g. </w:t>
            </w:r>
            <w:r w:rsidRPr="00BD403A">
              <w:rPr>
                <w:rFonts w:ascii="Arial" w:hAnsi="Arial" w:cs="Arial"/>
                <w:b/>
                <w:bCs/>
                <w:color w:val="000000"/>
                <w:kern w:val="0"/>
                <w:sz w:val="20"/>
              </w:rPr>
              <w:t xml:space="preserve">inside organisation, external) </w:t>
            </w:r>
          </w:p>
        </w:tc>
        <w:tc>
          <w:tcPr>
            <w:tcW w:w="10544" w:type="dxa"/>
            <w:shd w:val="clear" w:color="auto" w:fill="D9D9D9" w:themeFill="background1" w:themeFillShade="D9"/>
          </w:tcPr>
          <w:p w14:paraId="6D76C2A9" w14:textId="77777777" w:rsidR="000E0851" w:rsidRPr="00BD403A" w:rsidRDefault="000E0851" w:rsidP="000E0851">
            <w:pPr>
              <w:widowControl/>
              <w:suppressAutoHyphens w:val="0"/>
              <w:autoSpaceDE w:val="0"/>
              <w:adjustRightInd w:val="0"/>
              <w:textAlignment w:val="auto"/>
              <w:rPr>
                <w:rFonts w:ascii="Arial" w:hAnsi="Arial" w:cs="Arial"/>
                <w:color w:val="000000"/>
                <w:kern w:val="0"/>
                <w:sz w:val="20"/>
              </w:rPr>
            </w:pPr>
            <w:r w:rsidRPr="00BD403A">
              <w:rPr>
                <w:rFonts w:ascii="Arial" w:hAnsi="Arial" w:cs="Arial"/>
                <w:b/>
                <w:bCs/>
                <w:color w:val="000000"/>
                <w:kern w:val="0"/>
                <w:sz w:val="20"/>
              </w:rPr>
              <w:t xml:space="preserve">Description </w:t>
            </w:r>
          </w:p>
        </w:tc>
        <w:tc>
          <w:tcPr>
            <w:tcW w:w="1276" w:type="dxa"/>
            <w:shd w:val="clear" w:color="auto" w:fill="D9D9D9" w:themeFill="background1" w:themeFillShade="D9"/>
          </w:tcPr>
          <w:p w14:paraId="0016D1A6" w14:textId="77777777" w:rsidR="000E0851" w:rsidRPr="00DA325C" w:rsidRDefault="000E0851" w:rsidP="000E0851">
            <w:pPr>
              <w:widowControl/>
              <w:suppressAutoHyphens w:val="0"/>
              <w:autoSpaceDE w:val="0"/>
              <w:adjustRightInd w:val="0"/>
              <w:textAlignment w:val="auto"/>
              <w:rPr>
                <w:rFonts w:ascii="Arial" w:hAnsi="Arial" w:cs="Arial"/>
                <w:color w:val="000000"/>
                <w:kern w:val="0"/>
                <w:sz w:val="20"/>
              </w:rPr>
            </w:pPr>
            <w:r w:rsidRPr="00BD403A">
              <w:rPr>
                <w:rFonts w:ascii="Arial" w:hAnsi="Arial" w:cs="Arial"/>
                <w:b/>
                <w:bCs/>
                <w:color w:val="000000"/>
                <w:kern w:val="0"/>
                <w:sz w:val="20"/>
              </w:rPr>
              <w:t xml:space="preserve">Included/Excluded </w:t>
            </w:r>
          </w:p>
        </w:tc>
      </w:tr>
      <w:tr w:rsidR="00AF55BF" w:rsidRPr="00BD403A" w14:paraId="0DDFB5EB" w14:textId="77777777" w:rsidTr="00DA325C">
        <w:trPr>
          <w:trHeight w:val="553"/>
        </w:trPr>
        <w:tc>
          <w:tcPr>
            <w:tcW w:w="1653" w:type="dxa"/>
          </w:tcPr>
          <w:p w14:paraId="628A24F8" w14:textId="77777777" w:rsidR="000E0851" w:rsidRPr="00BD403A" w:rsidRDefault="000E0851" w:rsidP="000E0851">
            <w:pPr>
              <w:widowControl/>
              <w:suppressAutoHyphens w:val="0"/>
              <w:autoSpaceDE w:val="0"/>
              <w:adjustRightInd w:val="0"/>
              <w:textAlignment w:val="auto"/>
              <w:rPr>
                <w:rFonts w:ascii="Arial" w:hAnsi="Arial" w:cs="Arial"/>
                <w:color w:val="000000"/>
                <w:kern w:val="0"/>
                <w:sz w:val="20"/>
              </w:rPr>
            </w:pPr>
            <w:r w:rsidRPr="00BD403A">
              <w:rPr>
                <w:rFonts w:ascii="Arial" w:hAnsi="Arial" w:cs="Arial"/>
                <w:color w:val="000000"/>
                <w:kern w:val="0"/>
                <w:sz w:val="20"/>
              </w:rPr>
              <w:t xml:space="preserve">Urgent </w:t>
            </w:r>
          </w:p>
        </w:tc>
        <w:tc>
          <w:tcPr>
            <w:tcW w:w="1716" w:type="dxa"/>
          </w:tcPr>
          <w:p w14:paraId="68B92A15" w14:textId="77777777" w:rsidR="000E0851" w:rsidRPr="00BD403A" w:rsidRDefault="000E0851" w:rsidP="000E0851">
            <w:pPr>
              <w:widowControl/>
              <w:suppressAutoHyphens w:val="0"/>
              <w:autoSpaceDE w:val="0"/>
              <w:adjustRightInd w:val="0"/>
              <w:textAlignment w:val="auto"/>
              <w:rPr>
                <w:rFonts w:ascii="Arial" w:hAnsi="Arial" w:cs="Arial"/>
                <w:color w:val="000000"/>
                <w:kern w:val="0"/>
                <w:sz w:val="20"/>
              </w:rPr>
            </w:pPr>
            <w:r w:rsidRPr="00BD403A">
              <w:rPr>
                <w:rFonts w:ascii="Arial" w:hAnsi="Arial" w:cs="Arial"/>
                <w:color w:val="000000"/>
                <w:kern w:val="0"/>
                <w:sz w:val="20"/>
              </w:rPr>
              <w:t xml:space="preserve">Any </w:t>
            </w:r>
          </w:p>
        </w:tc>
        <w:tc>
          <w:tcPr>
            <w:tcW w:w="10544" w:type="dxa"/>
          </w:tcPr>
          <w:p w14:paraId="22905626" w14:textId="6DEE71AC" w:rsidR="000E0851" w:rsidRPr="00DA325C" w:rsidRDefault="000E0851" w:rsidP="000E0851">
            <w:pPr>
              <w:widowControl/>
              <w:suppressAutoHyphens w:val="0"/>
              <w:autoSpaceDE w:val="0"/>
              <w:adjustRightInd w:val="0"/>
              <w:textAlignment w:val="auto"/>
              <w:rPr>
                <w:rFonts w:ascii="Arial" w:hAnsi="Arial" w:cs="Arial"/>
                <w:color w:val="000000"/>
                <w:kern w:val="0"/>
                <w:sz w:val="20"/>
              </w:rPr>
            </w:pPr>
            <w:r w:rsidRPr="00BD403A">
              <w:rPr>
                <w:rFonts w:ascii="Arial" w:hAnsi="Arial" w:cs="Arial"/>
                <w:color w:val="000000"/>
                <w:kern w:val="0"/>
                <w:sz w:val="20"/>
              </w:rPr>
              <w:t xml:space="preserve">Cases where </w:t>
            </w:r>
            <w:r w:rsidR="00AF55BF" w:rsidRPr="00BD403A">
              <w:rPr>
                <w:rFonts w:ascii="Arial" w:hAnsi="Arial" w:cs="Arial"/>
                <w:color w:val="000000"/>
                <w:kern w:val="0"/>
                <w:sz w:val="20"/>
              </w:rPr>
              <w:t>c</w:t>
            </w:r>
            <w:r w:rsidRPr="00BD403A">
              <w:rPr>
                <w:rFonts w:ascii="Arial" w:hAnsi="Arial" w:cs="Arial"/>
                <w:color w:val="000000"/>
                <w:kern w:val="0"/>
                <w:sz w:val="20"/>
              </w:rPr>
              <w:t xml:space="preserve">ondition considered to be suspected cancer or </w:t>
            </w:r>
            <w:r w:rsidR="0080356D" w:rsidRPr="00BD403A">
              <w:rPr>
                <w:rFonts w:ascii="Arial" w:hAnsi="Arial" w:cs="Arial"/>
                <w:color w:val="000000"/>
                <w:kern w:val="0"/>
                <w:sz w:val="20"/>
              </w:rPr>
              <w:t xml:space="preserve">other condition </w:t>
            </w:r>
            <w:r w:rsidRPr="00BD403A">
              <w:rPr>
                <w:rFonts w:ascii="Arial" w:hAnsi="Arial" w:cs="Arial"/>
                <w:color w:val="000000"/>
                <w:kern w:val="0"/>
                <w:sz w:val="20"/>
              </w:rPr>
              <w:t>where treatment delay would have adverse effect on the clinical outcome for the patient</w:t>
            </w:r>
            <w:r w:rsidR="00E56057" w:rsidRPr="00BD403A">
              <w:rPr>
                <w:rFonts w:ascii="Arial" w:hAnsi="Arial" w:cs="Arial"/>
                <w:color w:val="000000"/>
                <w:kern w:val="0"/>
                <w:sz w:val="20"/>
              </w:rPr>
              <w:t xml:space="preserve"> (</w:t>
            </w:r>
            <w:r w:rsidR="00861FAC" w:rsidRPr="00BD403A">
              <w:rPr>
                <w:rFonts w:ascii="Arial" w:hAnsi="Arial" w:cs="Arial"/>
                <w:color w:val="000000"/>
                <w:kern w:val="0"/>
                <w:sz w:val="20"/>
              </w:rPr>
              <w:t>symptoms and initial diagnostics suggest cancer maybe a cause or further urgent diagnostics are needed to differentiate).</w:t>
            </w:r>
          </w:p>
        </w:tc>
        <w:tc>
          <w:tcPr>
            <w:tcW w:w="1276" w:type="dxa"/>
          </w:tcPr>
          <w:p w14:paraId="1645C693" w14:textId="77777777" w:rsidR="000E0851" w:rsidRPr="00BD403A" w:rsidRDefault="000E0851" w:rsidP="000E0851">
            <w:pPr>
              <w:widowControl/>
              <w:suppressAutoHyphens w:val="0"/>
              <w:autoSpaceDE w:val="0"/>
              <w:adjustRightInd w:val="0"/>
              <w:textAlignment w:val="auto"/>
              <w:rPr>
                <w:rFonts w:ascii="Arial" w:hAnsi="Arial" w:cs="Arial"/>
                <w:color w:val="000000"/>
                <w:kern w:val="0"/>
                <w:sz w:val="20"/>
              </w:rPr>
            </w:pPr>
            <w:r w:rsidRPr="00BD403A">
              <w:rPr>
                <w:rFonts w:ascii="Arial" w:hAnsi="Arial" w:cs="Arial"/>
                <w:color w:val="000000"/>
                <w:kern w:val="0"/>
                <w:sz w:val="20"/>
              </w:rPr>
              <w:t xml:space="preserve">Inclusion </w:t>
            </w:r>
          </w:p>
        </w:tc>
      </w:tr>
      <w:tr w:rsidR="00AF55BF" w:rsidRPr="00BD403A" w14:paraId="70E0F117" w14:textId="77777777" w:rsidTr="00DA325C">
        <w:trPr>
          <w:trHeight w:val="1491"/>
        </w:trPr>
        <w:tc>
          <w:tcPr>
            <w:tcW w:w="1653" w:type="dxa"/>
          </w:tcPr>
          <w:p w14:paraId="5A52BAE8" w14:textId="77777777" w:rsidR="000E0851" w:rsidRPr="00DA325C" w:rsidRDefault="000E0851" w:rsidP="000E0851">
            <w:pPr>
              <w:widowControl/>
              <w:suppressAutoHyphens w:val="0"/>
              <w:autoSpaceDE w:val="0"/>
              <w:adjustRightInd w:val="0"/>
              <w:textAlignment w:val="auto"/>
              <w:rPr>
                <w:rFonts w:ascii="Arial" w:hAnsi="Arial" w:cs="Arial"/>
                <w:color w:val="000000"/>
                <w:kern w:val="0"/>
                <w:sz w:val="20"/>
              </w:rPr>
            </w:pPr>
            <w:r w:rsidRPr="00BD403A">
              <w:rPr>
                <w:rFonts w:ascii="Arial" w:hAnsi="Arial" w:cs="Arial"/>
                <w:color w:val="000000"/>
                <w:kern w:val="0"/>
                <w:sz w:val="20"/>
              </w:rPr>
              <w:t xml:space="preserve">Further Investigation - Major </w:t>
            </w:r>
          </w:p>
        </w:tc>
        <w:tc>
          <w:tcPr>
            <w:tcW w:w="1716" w:type="dxa"/>
          </w:tcPr>
          <w:p w14:paraId="32D93B83" w14:textId="77777777" w:rsidR="000E0851" w:rsidRPr="00BD403A" w:rsidRDefault="000E0851" w:rsidP="000E0851">
            <w:pPr>
              <w:widowControl/>
              <w:suppressAutoHyphens w:val="0"/>
              <w:autoSpaceDE w:val="0"/>
              <w:adjustRightInd w:val="0"/>
              <w:textAlignment w:val="auto"/>
              <w:rPr>
                <w:rFonts w:ascii="Arial" w:hAnsi="Arial" w:cs="Arial"/>
                <w:color w:val="000000"/>
                <w:kern w:val="0"/>
                <w:sz w:val="20"/>
              </w:rPr>
            </w:pPr>
            <w:r w:rsidRPr="00BD403A">
              <w:rPr>
                <w:rFonts w:ascii="Arial" w:hAnsi="Arial" w:cs="Arial"/>
                <w:color w:val="000000"/>
                <w:kern w:val="0"/>
                <w:sz w:val="20"/>
              </w:rPr>
              <w:t xml:space="preserve">Any </w:t>
            </w:r>
          </w:p>
        </w:tc>
        <w:tc>
          <w:tcPr>
            <w:tcW w:w="10544" w:type="dxa"/>
          </w:tcPr>
          <w:p w14:paraId="52CCD346" w14:textId="77777777" w:rsidR="000E0851" w:rsidRPr="00DA325C" w:rsidRDefault="000E0851" w:rsidP="000E0851">
            <w:pPr>
              <w:widowControl/>
              <w:suppressAutoHyphens w:val="0"/>
              <w:autoSpaceDE w:val="0"/>
              <w:adjustRightInd w:val="0"/>
              <w:textAlignment w:val="auto"/>
              <w:rPr>
                <w:rFonts w:ascii="Arial" w:hAnsi="Arial" w:cs="Arial"/>
                <w:color w:val="000000"/>
                <w:kern w:val="0"/>
                <w:sz w:val="20"/>
              </w:rPr>
            </w:pPr>
            <w:r w:rsidRPr="00BD403A">
              <w:rPr>
                <w:rFonts w:ascii="Arial" w:hAnsi="Arial" w:cs="Arial"/>
                <w:color w:val="000000"/>
                <w:kern w:val="0"/>
                <w:sz w:val="20"/>
              </w:rPr>
              <w:t xml:space="preserve">Cases where further investigation of the presenting signs and symptoms is considered necessary </w:t>
            </w:r>
            <w:proofErr w:type="gramStart"/>
            <w:r w:rsidRPr="00BD403A">
              <w:rPr>
                <w:rFonts w:ascii="Arial" w:hAnsi="Arial" w:cs="Arial"/>
                <w:color w:val="000000"/>
                <w:kern w:val="0"/>
                <w:sz w:val="20"/>
              </w:rPr>
              <w:t>in order to</w:t>
            </w:r>
            <w:proofErr w:type="gramEnd"/>
            <w:r w:rsidRPr="00BD403A">
              <w:rPr>
                <w:rFonts w:ascii="Arial" w:hAnsi="Arial" w:cs="Arial"/>
                <w:color w:val="000000"/>
                <w:kern w:val="0"/>
                <w:sz w:val="20"/>
              </w:rPr>
              <w:t xml:space="preserve"> commence treatment but where these further investigations could not be conducted by either the GP or the first consultant. (e.g. patients with shortness of breath may need to be referred to a Cardiologist having been seen by a Respiratory Physician) </w:t>
            </w:r>
          </w:p>
          <w:p w14:paraId="45142E45" w14:textId="77777777" w:rsidR="00294575" w:rsidRPr="00BD403A" w:rsidRDefault="000E0851" w:rsidP="00294575">
            <w:pPr>
              <w:widowControl/>
              <w:suppressAutoHyphens w:val="0"/>
              <w:autoSpaceDE w:val="0"/>
              <w:adjustRightInd w:val="0"/>
              <w:textAlignment w:val="auto"/>
              <w:rPr>
                <w:rFonts w:ascii="Arial" w:hAnsi="Arial" w:cs="Arial"/>
                <w:color w:val="000000"/>
                <w:kern w:val="0"/>
                <w:sz w:val="20"/>
              </w:rPr>
            </w:pPr>
            <w:r w:rsidRPr="00BD403A">
              <w:rPr>
                <w:rFonts w:ascii="Arial" w:hAnsi="Arial" w:cs="Arial"/>
                <w:color w:val="000000"/>
                <w:kern w:val="0"/>
                <w:sz w:val="20"/>
              </w:rPr>
              <w:t xml:space="preserve">This should also include cases where </w:t>
            </w:r>
            <w:r w:rsidRPr="00DA325C">
              <w:rPr>
                <w:rFonts w:ascii="Arial" w:hAnsi="Arial" w:cs="Arial"/>
                <w:color w:val="000000"/>
                <w:kern w:val="0"/>
                <w:sz w:val="20"/>
              </w:rPr>
              <w:t xml:space="preserve">conditions need investigation as part </w:t>
            </w:r>
            <w:r w:rsidR="00294575" w:rsidRPr="00DA325C">
              <w:rPr>
                <w:rFonts w:ascii="Arial" w:hAnsi="Arial" w:cs="Arial"/>
                <w:color w:val="000000"/>
                <w:kern w:val="0"/>
                <w:sz w:val="20"/>
              </w:rPr>
              <w:t xml:space="preserve">of the </w:t>
            </w:r>
            <w:proofErr w:type="gramStart"/>
            <w:r w:rsidR="00294575" w:rsidRPr="00DA325C">
              <w:rPr>
                <w:rFonts w:ascii="Arial" w:hAnsi="Arial" w:cs="Arial"/>
                <w:color w:val="000000"/>
                <w:kern w:val="0"/>
                <w:sz w:val="20"/>
              </w:rPr>
              <w:t>18 week</w:t>
            </w:r>
            <w:proofErr w:type="gramEnd"/>
            <w:r w:rsidR="00294575" w:rsidRPr="00DA325C">
              <w:rPr>
                <w:rFonts w:ascii="Arial" w:hAnsi="Arial" w:cs="Arial"/>
                <w:color w:val="000000"/>
                <w:kern w:val="0"/>
                <w:sz w:val="20"/>
              </w:rPr>
              <w:t xml:space="preserve"> pathway (</w:t>
            </w:r>
            <w:r w:rsidR="00294575" w:rsidRPr="00BD403A">
              <w:rPr>
                <w:rFonts w:ascii="Arial" w:hAnsi="Arial" w:cs="Arial"/>
                <w:color w:val="000000"/>
                <w:kern w:val="0"/>
                <w:sz w:val="20"/>
              </w:rPr>
              <w:t xml:space="preserve">i.e. heart murmurs not previously known about that need investigation before surgery) </w:t>
            </w:r>
          </w:p>
          <w:p w14:paraId="16D21799" w14:textId="5A189C89" w:rsidR="000E0851" w:rsidRPr="00DA325C" w:rsidRDefault="00294575" w:rsidP="00294575">
            <w:pPr>
              <w:widowControl/>
              <w:suppressAutoHyphens w:val="0"/>
              <w:autoSpaceDE w:val="0"/>
              <w:adjustRightInd w:val="0"/>
              <w:textAlignment w:val="auto"/>
              <w:rPr>
                <w:rFonts w:ascii="Arial" w:hAnsi="Arial" w:cs="Arial"/>
                <w:color w:val="000000"/>
                <w:kern w:val="0"/>
                <w:sz w:val="20"/>
              </w:rPr>
            </w:pPr>
            <w:r w:rsidRPr="00BD403A">
              <w:rPr>
                <w:rFonts w:ascii="Arial" w:hAnsi="Arial" w:cs="Arial"/>
                <w:color w:val="000000"/>
                <w:kern w:val="0"/>
                <w:sz w:val="20"/>
              </w:rPr>
              <w:t>(</w:t>
            </w:r>
            <w:r w:rsidR="004D3F9B" w:rsidRPr="00BD403A">
              <w:rPr>
                <w:rFonts w:ascii="Arial" w:hAnsi="Arial" w:cs="Arial"/>
                <w:color w:val="000000"/>
                <w:kern w:val="0"/>
                <w:sz w:val="20"/>
              </w:rPr>
              <w:t>e</w:t>
            </w:r>
            <w:r w:rsidRPr="00BD403A">
              <w:rPr>
                <w:rFonts w:ascii="Arial" w:hAnsi="Arial" w:cs="Arial"/>
                <w:color w:val="000000"/>
                <w:kern w:val="0"/>
                <w:sz w:val="20"/>
              </w:rPr>
              <w:t>.g. patients with shortness of breath may need to be referred to a Cardiologist having been seen by a Respiratory Physician).</w:t>
            </w:r>
          </w:p>
        </w:tc>
        <w:tc>
          <w:tcPr>
            <w:tcW w:w="1276" w:type="dxa"/>
          </w:tcPr>
          <w:p w14:paraId="14E00307" w14:textId="77777777" w:rsidR="000E0851" w:rsidRPr="00BD403A" w:rsidRDefault="000E0851" w:rsidP="000E0851">
            <w:pPr>
              <w:widowControl/>
              <w:suppressAutoHyphens w:val="0"/>
              <w:autoSpaceDE w:val="0"/>
              <w:adjustRightInd w:val="0"/>
              <w:textAlignment w:val="auto"/>
              <w:rPr>
                <w:rFonts w:ascii="Arial" w:hAnsi="Arial" w:cs="Arial"/>
                <w:color w:val="000000"/>
                <w:kern w:val="0"/>
                <w:sz w:val="20"/>
              </w:rPr>
            </w:pPr>
            <w:r w:rsidRPr="00BD403A">
              <w:rPr>
                <w:rFonts w:ascii="Arial" w:hAnsi="Arial" w:cs="Arial"/>
                <w:color w:val="000000"/>
                <w:kern w:val="0"/>
                <w:sz w:val="20"/>
              </w:rPr>
              <w:t xml:space="preserve">Inclusion </w:t>
            </w:r>
          </w:p>
        </w:tc>
      </w:tr>
      <w:tr w:rsidR="00052B2E" w:rsidRPr="00BD403A" w14:paraId="7D7F6A06" w14:textId="77777777" w:rsidTr="00DA325C">
        <w:trPr>
          <w:trHeight w:val="689"/>
        </w:trPr>
        <w:tc>
          <w:tcPr>
            <w:tcW w:w="1653" w:type="dxa"/>
          </w:tcPr>
          <w:p w14:paraId="4DD12E00" w14:textId="16990962" w:rsidR="00052B2E" w:rsidRPr="00BD403A" w:rsidRDefault="00052B2E" w:rsidP="000E0851">
            <w:pPr>
              <w:widowControl/>
              <w:suppressAutoHyphens w:val="0"/>
              <w:autoSpaceDE w:val="0"/>
              <w:adjustRightInd w:val="0"/>
              <w:textAlignment w:val="auto"/>
              <w:rPr>
                <w:rFonts w:ascii="Arial" w:hAnsi="Arial" w:cs="Arial"/>
                <w:color w:val="000000"/>
                <w:kern w:val="0"/>
                <w:sz w:val="20"/>
              </w:rPr>
            </w:pPr>
            <w:r w:rsidRPr="00BD403A">
              <w:rPr>
                <w:rFonts w:ascii="Arial" w:hAnsi="Arial" w:cs="Arial"/>
                <w:color w:val="000000"/>
                <w:kern w:val="0"/>
                <w:sz w:val="20"/>
              </w:rPr>
              <w:t>Further investigation</w:t>
            </w:r>
          </w:p>
        </w:tc>
        <w:tc>
          <w:tcPr>
            <w:tcW w:w="1716" w:type="dxa"/>
          </w:tcPr>
          <w:p w14:paraId="6CDEA44B" w14:textId="4A22DC50" w:rsidR="00052B2E" w:rsidRPr="00BD403A" w:rsidRDefault="00052B2E" w:rsidP="000E0851">
            <w:pPr>
              <w:widowControl/>
              <w:suppressAutoHyphens w:val="0"/>
              <w:autoSpaceDE w:val="0"/>
              <w:adjustRightInd w:val="0"/>
              <w:textAlignment w:val="auto"/>
              <w:rPr>
                <w:rFonts w:ascii="Arial" w:hAnsi="Arial" w:cs="Arial"/>
                <w:color w:val="000000"/>
                <w:kern w:val="0"/>
                <w:sz w:val="20"/>
              </w:rPr>
            </w:pPr>
            <w:r w:rsidRPr="00BD403A">
              <w:rPr>
                <w:rFonts w:ascii="Arial" w:hAnsi="Arial" w:cs="Arial"/>
                <w:color w:val="000000"/>
                <w:kern w:val="0"/>
                <w:sz w:val="20"/>
              </w:rPr>
              <w:t>Any</w:t>
            </w:r>
          </w:p>
        </w:tc>
        <w:tc>
          <w:tcPr>
            <w:tcW w:w="10544" w:type="dxa"/>
          </w:tcPr>
          <w:p w14:paraId="3005DFBC" w14:textId="1A368C85" w:rsidR="00052B2E" w:rsidRPr="00BD403A" w:rsidRDefault="00052B2E" w:rsidP="00052B2E">
            <w:pPr>
              <w:pStyle w:val="Default"/>
              <w:rPr>
                <w:rFonts w:cs="Arial"/>
                <w:sz w:val="20"/>
              </w:rPr>
            </w:pPr>
            <w:r w:rsidRPr="00BD403A">
              <w:rPr>
                <w:rFonts w:cs="Arial"/>
                <w:sz w:val="20"/>
              </w:rPr>
              <w:t xml:space="preserve">Cases with unrelated symptoms should be sent back to their GP </w:t>
            </w:r>
            <w:r w:rsidR="000A15C1">
              <w:rPr>
                <w:rFonts w:cs="Arial"/>
                <w:sz w:val="20"/>
              </w:rPr>
              <w:t>for review. If related the patient should be investigated and referred on if required.</w:t>
            </w:r>
          </w:p>
          <w:p w14:paraId="3451B979" w14:textId="7D852B80" w:rsidR="00052B2E" w:rsidRPr="00BD403A" w:rsidRDefault="00052B2E" w:rsidP="00052B2E">
            <w:pPr>
              <w:widowControl/>
              <w:suppressAutoHyphens w:val="0"/>
              <w:autoSpaceDE w:val="0"/>
              <w:adjustRightInd w:val="0"/>
              <w:textAlignment w:val="auto"/>
              <w:rPr>
                <w:rFonts w:ascii="Arial" w:hAnsi="Arial" w:cs="Arial"/>
                <w:color w:val="000000"/>
                <w:kern w:val="0"/>
                <w:sz w:val="20"/>
              </w:rPr>
            </w:pPr>
          </w:p>
        </w:tc>
        <w:tc>
          <w:tcPr>
            <w:tcW w:w="1276" w:type="dxa"/>
          </w:tcPr>
          <w:p w14:paraId="3E4523E9" w14:textId="64AB799F" w:rsidR="00052B2E" w:rsidRPr="00BD403A" w:rsidRDefault="00052B2E" w:rsidP="000E0851">
            <w:pPr>
              <w:widowControl/>
              <w:suppressAutoHyphens w:val="0"/>
              <w:autoSpaceDE w:val="0"/>
              <w:adjustRightInd w:val="0"/>
              <w:textAlignment w:val="auto"/>
              <w:rPr>
                <w:rFonts w:ascii="Arial" w:hAnsi="Arial" w:cs="Arial"/>
                <w:color w:val="000000"/>
                <w:kern w:val="0"/>
                <w:sz w:val="20"/>
              </w:rPr>
            </w:pPr>
            <w:r w:rsidRPr="00BD403A">
              <w:rPr>
                <w:rFonts w:ascii="Arial" w:hAnsi="Arial" w:cs="Arial"/>
                <w:color w:val="000000"/>
                <w:kern w:val="0"/>
                <w:sz w:val="20"/>
              </w:rPr>
              <w:t>Excluded</w:t>
            </w:r>
          </w:p>
        </w:tc>
      </w:tr>
      <w:tr w:rsidR="00294575" w:rsidRPr="00BD403A" w14:paraId="1DCC1990" w14:textId="77777777" w:rsidTr="00DA325C">
        <w:trPr>
          <w:trHeight w:val="982"/>
        </w:trPr>
        <w:tc>
          <w:tcPr>
            <w:tcW w:w="1653" w:type="dxa"/>
          </w:tcPr>
          <w:p w14:paraId="4E5B6DCE" w14:textId="77777777" w:rsidR="00294575" w:rsidRPr="00DA325C" w:rsidRDefault="00294575" w:rsidP="00294575">
            <w:pPr>
              <w:widowControl/>
              <w:suppressAutoHyphens w:val="0"/>
              <w:autoSpaceDE w:val="0"/>
              <w:adjustRightInd w:val="0"/>
              <w:textAlignment w:val="auto"/>
              <w:rPr>
                <w:rFonts w:ascii="Arial" w:hAnsi="Arial" w:cs="Arial"/>
                <w:color w:val="000000"/>
                <w:kern w:val="0"/>
                <w:sz w:val="20"/>
              </w:rPr>
            </w:pPr>
            <w:r w:rsidRPr="00BD403A">
              <w:rPr>
                <w:rFonts w:ascii="Arial" w:hAnsi="Arial" w:cs="Arial"/>
                <w:color w:val="000000"/>
                <w:kern w:val="0"/>
                <w:sz w:val="20"/>
              </w:rPr>
              <w:t xml:space="preserve">Referral within Agreed Pathway </w:t>
            </w:r>
          </w:p>
        </w:tc>
        <w:tc>
          <w:tcPr>
            <w:tcW w:w="1716" w:type="dxa"/>
          </w:tcPr>
          <w:p w14:paraId="249049E2" w14:textId="77777777" w:rsidR="00294575" w:rsidRPr="00BD403A" w:rsidRDefault="00294575" w:rsidP="00294575">
            <w:pPr>
              <w:widowControl/>
              <w:suppressAutoHyphens w:val="0"/>
              <w:autoSpaceDE w:val="0"/>
              <w:adjustRightInd w:val="0"/>
              <w:textAlignment w:val="auto"/>
              <w:rPr>
                <w:rFonts w:ascii="Arial" w:hAnsi="Arial" w:cs="Arial"/>
                <w:color w:val="000000"/>
                <w:kern w:val="0"/>
                <w:sz w:val="20"/>
              </w:rPr>
            </w:pPr>
            <w:r w:rsidRPr="00BD403A">
              <w:rPr>
                <w:rFonts w:ascii="Arial" w:hAnsi="Arial" w:cs="Arial"/>
                <w:color w:val="000000"/>
                <w:kern w:val="0"/>
                <w:sz w:val="20"/>
              </w:rPr>
              <w:t xml:space="preserve">Any </w:t>
            </w:r>
          </w:p>
        </w:tc>
        <w:tc>
          <w:tcPr>
            <w:tcW w:w="10544" w:type="dxa"/>
          </w:tcPr>
          <w:p w14:paraId="4E6F38F8" w14:textId="77777777" w:rsidR="00294575" w:rsidRPr="00DA325C" w:rsidRDefault="00294575" w:rsidP="00294575">
            <w:pPr>
              <w:widowControl/>
              <w:suppressAutoHyphens w:val="0"/>
              <w:autoSpaceDE w:val="0"/>
              <w:adjustRightInd w:val="0"/>
              <w:textAlignment w:val="auto"/>
              <w:rPr>
                <w:rFonts w:ascii="Arial" w:hAnsi="Arial" w:cs="Arial"/>
                <w:color w:val="000000"/>
                <w:kern w:val="0"/>
                <w:sz w:val="20"/>
              </w:rPr>
            </w:pPr>
            <w:r w:rsidRPr="00BD403A">
              <w:rPr>
                <w:rFonts w:ascii="Arial" w:hAnsi="Arial" w:cs="Arial"/>
                <w:color w:val="000000"/>
                <w:kern w:val="0"/>
                <w:sz w:val="20"/>
              </w:rPr>
              <w:t xml:space="preserve">Cases where the presenting sign or symptom automatically indicates that a patient would be managed within an agreed care pathway including commissioned community services where appropriate (either formally approved or accepted local best practice) </w:t>
            </w:r>
          </w:p>
          <w:p w14:paraId="1BE96214" w14:textId="78E2D6D7" w:rsidR="00294575" w:rsidRPr="00DA325C" w:rsidRDefault="00294575" w:rsidP="00294575">
            <w:pPr>
              <w:widowControl/>
              <w:suppressAutoHyphens w:val="0"/>
              <w:autoSpaceDE w:val="0"/>
              <w:adjustRightInd w:val="0"/>
              <w:textAlignment w:val="auto"/>
              <w:rPr>
                <w:rFonts w:ascii="Arial" w:hAnsi="Arial" w:cs="Arial"/>
                <w:color w:val="000000"/>
                <w:kern w:val="0"/>
                <w:sz w:val="20"/>
              </w:rPr>
            </w:pPr>
            <w:r w:rsidRPr="00BD403A">
              <w:rPr>
                <w:rFonts w:ascii="Arial" w:hAnsi="Arial" w:cs="Arial"/>
                <w:color w:val="000000"/>
                <w:kern w:val="0"/>
                <w:sz w:val="20"/>
              </w:rPr>
              <w:t>(</w:t>
            </w:r>
            <w:proofErr w:type="spellStart"/>
            <w:r w:rsidRPr="00BD403A">
              <w:rPr>
                <w:rFonts w:ascii="Arial" w:hAnsi="Arial" w:cs="Arial"/>
                <w:color w:val="000000"/>
                <w:kern w:val="0"/>
                <w:sz w:val="20"/>
              </w:rPr>
              <w:t>e.g</w:t>
            </w:r>
            <w:proofErr w:type="spellEnd"/>
            <w:r w:rsidRPr="00BD403A">
              <w:rPr>
                <w:rFonts w:ascii="Arial" w:hAnsi="Arial" w:cs="Arial"/>
                <w:color w:val="000000"/>
                <w:kern w:val="0"/>
                <w:sz w:val="20"/>
              </w:rPr>
              <w:t xml:space="preserve"> patients diagnosed with Asthma in secondary care that requires onward management should be referred to the Community Respiratory Service</w:t>
            </w:r>
            <w:r w:rsidR="000A15C1">
              <w:rPr>
                <w:rFonts w:ascii="Arial" w:hAnsi="Arial" w:cs="Arial"/>
                <w:color w:val="000000"/>
                <w:kern w:val="0"/>
                <w:sz w:val="20"/>
              </w:rPr>
              <w:t xml:space="preserve"> or </w:t>
            </w:r>
            <w:proofErr w:type="spellStart"/>
            <w:r w:rsidR="000A15C1">
              <w:rPr>
                <w:rFonts w:ascii="Arial" w:hAnsi="Arial" w:cs="Arial"/>
                <w:color w:val="000000"/>
                <w:kern w:val="0"/>
                <w:sz w:val="20"/>
              </w:rPr>
              <w:t>mnaged</w:t>
            </w:r>
            <w:proofErr w:type="spellEnd"/>
            <w:r w:rsidR="000A15C1">
              <w:rPr>
                <w:rFonts w:ascii="Arial" w:hAnsi="Arial" w:cs="Arial"/>
                <w:color w:val="000000"/>
                <w:kern w:val="0"/>
                <w:sz w:val="20"/>
              </w:rPr>
              <w:t xml:space="preserve"> within the hospital</w:t>
            </w:r>
            <w:r w:rsidRPr="00BD403A">
              <w:rPr>
                <w:rFonts w:ascii="Arial" w:hAnsi="Arial" w:cs="Arial"/>
                <w:color w:val="000000"/>
                <w:kern w:val="0"/>
                <w:sz w:val="20"/>
              </w:rPr>
              <w:t xml:space="preserve">). </w:t>
            </w:r>
          </w:p>
        </w:tc>
        <w:tc>
          <w:tcPr>
            <w:tcW w:w="1276" w:type="dxa"/>
          </w:tcPr>
          <w:p w14:paraId="636466E4" w14:textId="1A22B3EC" w:rsidR="00294575" w:rsidRPr="00BD403A" w:rsidRDefault="00052B2E" w:rsidP="00294575">
            <w:pPr>
              <w:widowControl/>
              <w:suppressAutoHyphens w:val="0"/>
              <w:autoSpaceDE w:val="0"/>
              <w:adjustRightInd w:val="0"/>
              <w:textAlignment w:val="auto"/>
              <w:rPr>
                <w:rFonts w:ascii="Arial" w:hAnsi="Arial" w:cs="Arial"/>
                <w:color w:val="000000"/>
                <w:kern w:val="0"/>
                <w:sz w:val="20"/>
              </w:rPr>
            </w:pPr>
            <w:r w:rsidRPr="00BD403A">
              <w:rPr>
                <w:rFonts w:ascii="Arial" w:hAnsi="Arial" w:cs="Arial"/>
                <w:color w:val="000000"/>
                <w:kern w:val="0"/>
                <w:sz w:val="20"/>
              </w:rPr>
              <w:t>Inclusion</w:t>
            </w:r>
          </w:p>
        </w:tc>
      </w:tr>
      <w:tr w:rsidR="00294575" w:rsidRPr="00BD403A" w14:paraId="0C9D2110" w14:textId="77777777" w:rsidTr="00DA325C">
        <w:trPr>
          <w:trHeight w:val="1358"/>
        </w:trPr>
        <w:tc>
          <w:tcPr>
            <w:tcW w:w="1653" w:type="dxa"/>
          </w:tcPr>
          <w:p w14:paraId="39FD6FE5" w14:textId="77777777" w:rsidR="00294575" w:rsidRPr="00DA325C" w:rsidRDefault="00294575" w:rsidP="00294575">
            <w:pPr>
              <w:widowControl/>
              <w:suppressAutoHyphens w:val="0"/>
              <w:autoSpaceDE w:val="0"/>
              <w:adjustRightInd w:val="0"/>
              <w:textAlignment w:val="auto"/>
              <w:rPr>
                <w:rFonts w:ascii="Arial" w:hAnsi="Arial" w:cs="Arial"/>
                <w:color w:val="000000"/>
                <w:kern w:val="0"/>
                <w:sz w:val="20"/>
              </w:rPr>
            </w:pPr>
            <w:r w:rsidRPr="00BD403A">
              <w:rPr>
                <w:rFonts w:ascii="Arial" w:hAnsi="Arial" w:cs="Arial"/>
                <w:color w:val="000000"/>
                <w:kern w:val="0"/>
                <w:sz w:val="20"/>
              </w:rPr>
              <w:lastRenderedPageBreak/>
              <w:t xml:space="preserve">Same Condition - </w:t>
            </w:r>
          </w:p>
          <w:p w14:paraId="4ABA8214" w14:textId="77777777" w:rsidR="00294575" w:rsidRPr="00DA325C" w:rsidRDefault="00294575" w:rsidP="00294575">
            <w:pPr>
              <w:widowControl/>
              <w:suppressAutoHyphens w:val="0"/>
              <w:autoSpaceDE w:val="0"/>
              <w:adjustRightInd w:val="0"/>
              <w:textAlignment w:val="auto"/>
              <w:rPr>
                <w:rFonts w:ascii="Arial" w:hAnsi="Arial" w:cs="Arial"/>
                <w:color w:val="000000"/>
                <w:kern w:val="0"/>
                <w:sz w:val="20"/>
              </w:rPr>
            </w:pPr>
            <w:r w:rsidRPr="00BD403A">
              <w:rPr>
                <w:rFonts w:ascii="Arial" w:hAnsi="Arial" w:cs="Arial"/>
                <w:color w:val="000000"/>
                <w:kern w:val="0"/>
                <w:sz w:val="20"/>
              </w:rPr>
              <w:t xml:space="preserve">Incorrect Consultant or Incorrect Specialty </w:t>
            </w:r>
          </w:p>
        </w:tc>
        <w:tc>
          <w:tcPr>
            <w:tcW w:w="1716" w:type="dxa"/>
          </w:tcPr>
          <w:p w14:paraId="701D0398" w14:textId="77777777" w:rsidR="00294575" w:rsidRPr="00BD403A" w:rsidRDefault="00294575" w:rsidP="00294575">
            <w:pPr>
              <w:widowControl/>
              <w:suppressAutoHyphens w:val="0"/>
              <w:autoSpaceDE w:val="0"/>
              <w:adjustRightInd w:val="0"/>
              <w:textAlignment w:val="auto"/>
              <w:rPr>
                <w:rFonts w:ascii="Arial" w:hAnsi="Arial" w:cs="Arial"/>
                <w:color w:val="000000"/>
                <w:kern w:val="0"/>
                <w:sz w:val="20"/>
              </w:rPr>
            </w:pPr>
            <w:r w:rsidRPr="00BD403A">
              <w:rPr>
                <w:rFonts w:ascii="Arial" w:hAnsi="Arial" w:cs="Arial"/>
                <w:color w:val="000000"/>
                <w:kern w:val="0"/>
                <w:sz w:val="20"/>
              </w:rPr>
              <w:t xml:space="preserve">Any </w:t>
            </w:r>
          </w:p>
        </w:tc>
        <w:tc>
          <w:tcPr>
            <w:tcW w:w="10544" w:type="dxa"/>
          </w:tcPr>
          <w:p w14:paraId="241FBF41" w14:textId="40A8E708" w:rsidR="00294575" w:rsidRPr="00DA325C" w:rsidRDefault="00294575" w:rsidP="00294575">
            <w:pPr>
              <w:widowControl/>
              <w:suppressAutoHyphens w:val="0"/>
              <w:autoSpaceDE w:val="0"/>
              <w:adjustRightInd w:val="0"/>
              <w:textAlignment w:val="auto"/>
              <w:rPr>
                <w:rFonts w:ascii="Arial" w:hAnsi="Arial" w:cs="Arial"/>
                <w:color w:val="000000"/>
                <w:kern w:val="0"/>
                <w:sz w:val="20"/>
              </w:rPr>
            </w:pPr>
            <w:r w:rsidRPr="00BD403A">
              <w:rPr>
                <w:rFonts w:ascii="Arial" w:hAnsi="Arial" w:cs="Arial"/>
                <w:color w:val="000000"/>
                <w:kern w:val="0"/>
                <w:sz w:val="20"/>
              </w:rPr>
              <w:t xml:space="preserve">Cases where it is obvious the referrer has sent the patient to the correct </w:t>
            </w:r>
            <w:r w:rsidR="004D3F9B" w:rsidRPr="00BD403A">
              <w:rPr>
                <w:rFonts w:ascii="Arial" w:hAnsi="Arial" w:cs="Arial"/>
                <w:color w:val="000000"/>
                <w:kern w:val="0"/>
                <w:sz w:val="20"/>
              </w:rPr>
              <w:t>specialty,</w:t>
            </w:r>
            <w:r w:rsidRPr="00BD403A">
              <w:rPr>
                <w:rFonts w:ascii="Arial" w:hAnsi="Arial" w:cs="Arial"/>
                <w:color w:val="000000"/>
                <w:kern w:val="0"/>
                <w:sz w:val="20"/>
              </w:rPr>
              <w:t xml:space="preserve"> but the wrong consultant should be forwarded to the correct clinician without the delay. </w:t>
            </w:r>
          </w:p>
          <w:p w14:paraId="70F8DCC7" w14:textId="77777777" w:rsidR="00294575" w:rsidRPr="00BD403A" w:rsidRDefault="00294575" w:rsidP="00294575">
            <w:pPr>
              <w:widowControl/>
              <w:suppressAutoHyphens w:val="0"/>
              <w:autoSpaceDE w:val="0"/>
              <w:adjustRightInd w:val="0"/>
              <w:textAlignment w:val="auto"/>
              <w:rPr>
                <w:rFonts w:ascii="Arial" w:hAnsi="Arial" w:cs="Arial"/>
                <w:color w:val="000000"/>
                <w:kern w:val="0"/>
                <w:sz w:val="20"/>
              </w:rPr>
            </w:pPr>
            <w:r w:rsidRPr="00BD403A">
              <w:rPr>
                <w:rFonts w:ascii="Arial" w:hAnsi="Arial" w:cs="Arial"/>
                <w:color w:val="000000"/>
                <w:kern w:val="0"/>
                <w:sz w:val="20"/>
              </w:rPr>
              <w:t xml:space="preserve">. </w:t>
            </w:r>
          </w:p>
          <w:p w14:paraId="163AB907" w14:textId="65FD1706" w:rsidR="00294575" w:rsidRPr="00BD403A" w:rsidRDefault="00294575" w:rsidP="00294575">
            <w:pPr>
              <w:widowControl/>
              <w:suppressAutoHyphens w:val="0"/>
              <w:autoSpaceDE w:val="0"/>
              <w:adjustRightInd w:val="0"/>
              <w:textAlignment w:val="auto"/>
              <w:rPr>
                <w:rFonts w:ascii="Arial" w:hAnsi="Arial" w:cs="Arial"/>
                <w:color w:val="000000"/>
                <w:kern w:val="0"/>
                <w:sz w:val="20"/>
              </w:rPr>
            </w:pPr>
            <w:r w:rsidRPr="00BD403A">
              <w:rPr>
                <w:rFonts w:ascii="Arial" w:hAnsi="Arial" w:cs="Arial"/>
                <w:color w:val="000000"/>
                <w:kern w:val="0"/>
                <w:sz w:val="20"/>
              </w:rPr>
              <w:t xml:space="preserve">If the patient has been referred to an incorrect specialty, unless it falls into the above categories all referrals should be passed back to the GP without any delay with details for correct referral. </w:t>
            </w:r>
            <w:r w:rsidR="00CC4001" w:rsidRPr="00BD403A">
              <w:rPr>
                <w:rFonts w:ascii="Arial" w:hAnsi="Arial" w:cs="Arial"/>
                <w:color w:val="000000"/>
                <w:kern w:val="0"/>
                <w:sz w:val="20"/>
              </w:rPr>
              <w:t xml:space="preserve">Urgent referrals to the incorrect specialty may benefit from a phone call </w:t>
            </w:r>
            <w:r w:rsidR="00D1351F" w:rsidRPr="00BD403A">
              <w:rPr>
                <w:rFonts w:ascii="Arial" w:hAnsi="Arial" w:cs="Arial"/>
                <w:color w:val="000000"/>
                <w:kern w:val="0"/>
                <w:sz w:val="20"/>
              </w:rPr>
              <w:t>to accompany the rejection, to avoid the risk of delays to the patient as a result.</w:t>
            </w:r>
          </w:p>
        </w:tc>
        <w:tc>
          <w:tcPr>
            <w:tcW w:w="1276" w:type="dxa"/>
          </w:tcPr>
          <w:p w14:paraId="219F71F5" w14:textId="77777777" w:rsidR="00294575" w:rsidRPr="00BD403A" w:rsidRDefault="00052B2E" w:rsidP="00294575">
            <w:pPr>
              <w:widowControl/>
              <w:suppressAutoHyphens w:val="0"/>
              <w:autoSpaceDE w:val="0"/>
              <w:adjustRightInd w:val="0"/>
              <w:textAlignment w:val="auto"/>
              <w:rPr>
                <w:rFonts w:ascii="Arial" w:hAnsi="Arial" w:cs="Arial"/>
                <w:color w:val="000000"/>
                <w:kern w:val="0"/>
                <w:sz w:val="20"/>
              </w:rPr>
            </w:pPr>
            <w:r w:rsidRPr="00BD403A">
              <w:rPr>
                <w:rFonts w:ascii="Arial" w:hAnsi="Arial" w:cs="Arial"/>
                <w:color w:val="000000"/>
                <w:kern w:val="0"/>
                <w:sz w:val="20"/>
              </w:rPr>
              <w:t>Inclusion</w:t>
            </w:r>
          </w:p>
          <w:p w14:paraId="423CA3E0" w14:textId="77777777" w:rsidR="00052B2E" w:rsidRPr="00BD403A" w:rsidRDefault="00052B2E" w:rsidP="00294575">
            <w:pPr>
              <w:widowControl/>
              <w:suppressAutoHyphens w:val="0"/>
              <w:autoSpaceDE w:val="0"/>
              <w:adjustRightInd w:val="0"/>
              <w:textAlignment w:val="auto"/>
              <w:rPr>
                <w:rFonts w:ascii="Arial" w:hAnsi="Arial" w:cs="Arial"/>
                <w:color w:val="000000"/>
                <w:kern w:val="0"/>
                <w:sz w:val="20"/>
              </w:rPr>
            </w:pPr>
          </w:p>
          <w:p w14:paraId="413CEFDC" w14:textId="77777777" w:rsidR="00052B2E" w:rsidRPr="00BD403A" w:rsidRDefault="00052B2E" w:rsidP="00294575">
            <w:pPr>
              <w:widowControl/>
              <w:suppressAutoHyphens w:val="0"/>
              <w:autoSpaceDE w:val="0"/>
              <w:adjustRightInd w:val="0"/>
              <w:textAlignment w:val="auto"/>
              <w:rPr>
                <w:rFonts w:ascii="Arial" w:hAnsi="Arial" w:cs="Arial"/>
                <w:color w:val="000000"/>
                <w:kern w:val="0"/>
                <w:sz w:val="20"/>
              </w:rPr>
            </w:pPr>
          </w:p>
          <w:p w14:paraId="524A6F50" w14:textId="51265819" w:rsidR="00052B2E" w:rsidRPr="00BD403A" w:rsidRDefault="00052B2E" w:rsidP="00294575">
            <w:pPr>
              <w:widowControl/>
              <w:suppressAutoHyphens w:val="0"/>
              <w:autoSpaceDE w:val="0"/>
              <w:adjustRightInd w:val="0"/>
              <w:textAlignment w:val="auto"/>
              <w:rPr>
                <w:rFonts w:ascii="Arial" w:hAnsi="Arial" w:cs="Arial"/>
                <w:color w:val="000000"/>
                <w:kern w:val="0"/>
                <w:sz w:val="20"/>
              </w:rPr>
            </w:pPr>
            <w:r w:rsidRPr="00BD403A">
              <w:rPr>
                <w:rFonts w:ascii="Arial" w:hAnsi="Arial" w:cs="Arial"/>
                <w:color w:val="000000"/>
                <w:kern w:val="0"/>
                <w:sz w:val="20"/>
              </w:rPr>
              <w:t>Exclusion</w:t>
            </w:r>
          </w:p>
        </w:tc>
      </w:tr>
      <w:tr w:rsidR="00294575" w:rsidRPr="00BD403A" w14:paraId="751B3A15" w14:textId="77777777" w:rsidTr="00DA325C">
        <w:trPr>
          <w:trHeight w:val="408"/>
        </w:trPr>
        <w:tc>
          <w:tcPr>
            <w:tcW w:w="1653" w:type="dxa"/>
          </w:tcPr>
          <w:p w14:paraId="030A23DB" w14:textId="77777777" w:rsidR="00294575" w:rsidRPr="00BD403A" w:rsidRDefault="00294575" w:rsidP="00294575">
            <w:pPr>
              <w:widowControl/>
              <w:suppressAutoHyphens w:val="0"/>
              <w:autoSpaceDE w:val="0"/>
              <w:adjustRightInd w:val="0"/>
              <w:textAlignment w:val="auto"/>
              <w:rPr>
                <w:rFonts w:ascii="Arial" w:hAnsi="Arial" w:cs="Arial"/>
                <w:color w:val="000000"/>
                <w:kern w:val="0"/>
                <w:sz w:val="20"/>
              </w:rPr>
            </w:pPr>
            <w:r w:rsidRPr="00BD403A">
              <w:rPr>
                <w:rFonts w:ascii="Arial" w:hAnsi="Arial" w:cs="Arial"/>
                <w:color w:val="000000"/>
                <w:kern w:val="0"/>
                <w:sz w:val="20"/>
              </w:rPr>
              <w:t xml:space="preserve">Direct ED </w:t>
            </w:r>
          </w:p>
          <w:p w14:paraId="370E2F26" w14:textId="77777777" w:rsidR="00294575" w:rsidRPr="00DA325C" w:rsidRDefault="00294575" w:rsidP="00294575">
            <w:pPr>
              <w:widowControl/>
              <w:suppressAutoHyphens w:val="0"/>
              <w:autoSpaceDE w:val="0"/>
              <w:adjustRightInd w:val="0"/>
              <w:textAlignment w:val="auto"/>
              <w:rPr>
                <w:rFonts w:ascii="Arial" w:hAnsi="Arial" w:cs="Arial"/>
                <w:color w:val="000000"/>
                <w:kern w:val="0"/>
                <w:sz w:val="20"/>
              </w:rPr>
            </w:pPr>
            <w:r w:rsidRPr="00BD403A">
              <w:rPr>
                <w:rFonts w:ascii="Arial" w:hAnsi="Arial" w:cs="Arial"/>
                <w:color w:val="000000"/>
                <w:kern w:val="0"/>
                <w:sz w:val="20"/>
              </w:rPr>
              <w:t xml:space="preserve">(A &amp; E) Referral </w:t>
            </w:r>
          </w:p>
        </w:tc>
        <w:tc>
          <w:tcPr>
            <w:tcW w:w="1716" w:type="dxa"/>
          </w:tcPr>
          <w:p w14:paraId="36338D30" w14:textId="77777777" w:rsidR="00294575" w:rsidRPr="00BD403A" w:rsidRDefault="00294575" w:rsidP="00294575">
            <w:pPr>
              <w:widowControl/>
              <w:suppressAutoHyphens w:val="0"/>
              <w:autoSpaceDE w:val="0"/>
              <w:adjustRightInd w:val="0"/>
              <w:textAlignment w:val="auto"/>
              <w:rPr>
                <w:rFonts w:ascii="Arial" w:hAnsi="Arial" w:cs="Arial"/>
                <w:color w:val="000000"/>
                <w:kern w:val="0"/>
                <w:sz w:val="20"/>
              </w:rPr>
            </w:pPr>
            <w:r w:rsidRPr="00BD403A">
              <w:rPr>
                <w:rFonts w:ascii="Arial" w:hAnsi="Arial" w:cs="Arial"/>
                <w:color w:val="000000"/>
                <w:kern w:val="0"/>
                <w:sz w:val="20"/>
              </w:rPr>
              <w:t xml:space="preserve">Any authorised ED </w:t>
            </w:r>
          </w:p>
        </w:tc>
        <w:tc>
          <w:tcPr>
            <w:tcW w:w="10544" w:type="dxa"/>
          </w:tcPr>
          <w:p w14:paraId="72BC46BF" w14:textId="4F598316" w:rsidR="00294575" w:rsidRPr="00DA325C" w:rsidRDefault="00294575" w:rsidP="00294575">
            <w:pPr>
              <w:widowControl/>
              <w:suppressAutoHyphens w:val="0"/>
              <w:autoSpaceDE w:val="0"/>
              <w:adjustRightInd w:val="0"/>
              <w:textAlignment w:val="auto"/>
              <w:rPr>
                <w:rFonts w:ascii="Arial" w:hAnsi="Arial" w:cs="Arial"/>
                <w:color w:val="000000"/>
                <w:kern w:val="0"/>
                <w:sz w:val="20"/>
              </w:rPr>
            </w:pPr>
            <w:r w:rsidRPr="00BD403A">
              <w:rPr>
                <w:rFonts w:ascii="Arial" w:hAnsi="Arial" w:cs="Arial"/>
                <w:color w:val="000000"/>
                <w:kern w:val="0"/>
                <w:sz w:val="20"/>
              </w:rPr>
              <w:t xml:space="preserve">Referrals from ED directly referred to specialty where further investigation or specialist treatment may be applied if condition requires immediacy of clinical opinion </w:t>
            </w:r>
            <w:r w:rsidR="004D3F9B" w:rsidRPr="00BD403A">
              <w:rPr>
                <w:rFonts w:ascii="Arial" w:hAnsi="Arial" w:cs="Arial"/>
                <w:color w:val="000000"/>
                <w:kern w:val="0"/>
                <w:sz w:val="20"/>
              </w:rPr>
              <w:t>i.e.,</w:t>
            </w:r>
            <w:r w:rsidRPr="00BD403A">
              <w:rPr>
                <w:rFonts w:ascii="Arial" w:hAnsi="Arial" w:cs="Arial"/>
                <w:color w:val="000000"/>
                <w:kern w:val="0"/>
                <w:sz w:val="20"/>
              </w:rPr>
              <w:t xml:space="preserve"> if there is the risk of non-compliance (such as TB), or the patient doesn’t have a GP. Referral to a commissioned community service if appropriate. </w:t>
            </w:r>
          </w:p>
        </w:tc>
        <w:tc>
          <w:tcPr>
            <w:tcW w:w="1276" w:type="dxa"/>
          </w:tcPr>
          <w:p w14:paraId="3BF30533" w14:textId="1BD00788" w:rsidR="00294575" w:rsidRPr="00BD403A" w:rsidRDefault="00052B2E" w:rsidP="00294575">
            <w:pPr>
              <w:widowControl/>
              <w:suppressAutoHyphens w:val="0"/>
              <w:autoSpaceDE w:val="0"/>
              <w:adjustRightInd w:val="0"/>
              <w:textAlignment w:val="auto"/>
              <w:rPr>
                <w:rFonts w:ascii="Arial" w:hAnsi="Arial" w:cs="Arial"/>
                <w:color w:val="000000"/>
                <w:kern w:val="0"/>
                <w:sz w:val="20"/>
              </w:rPr>
            </w:pPr>
            <w:r w:rsidRPr="00BD403A">
              <w:rPr>
                <w:rFonts w:ascii="Arial" w:hAnsi="Arial" w:cs="Arial"/>
                <w:color w:val="000000"/>
                <w:kern w:val="0"/>
                <w:sz w:val="20"/>
              </w:rPr>
              <w:t>Inclusion</w:t>
            </w:r>
          </w:p>
        </w:tc>
      </w:tr>
      <w:tr w:rsidR="00294575" w:rsidRPr="00BD403A" w14:paraId="720CAB4B" w14:textId="77777777" w:rsidTr="00DA325C">
        <w:trPr>
          <w:trHeight w:val="322"/>
        </w:trPr>
        <w:tc>
          <w:tcPr>
            <w:tcW w:w="1653" w:type="dxa"/>
          </w:tcPr>
          <w:p w14:paraId="30903F8D" w14:textId="77777777" w:rsidR="00294575" w:rsidRPr="00DA325C" w:rsidRDefault="00294575" w:rsidP="00294575">
            <w:pPr>
              <w:widowControl/>
              <w:suppressAutoHyphens w:val="0"/>
              <w:autoSpaceDE w:val="0"/>
              <w:adjustRightInd w:val="0"/>
              <w:textAlignment w:val="auto"/>
              <w:rPr>
                <w:rFonts w:ascii="Arial" w:hAnsi="Arial" w:cs="Arial"/>
                <w:color w:val="000000"/>
                <w:kern w:val="0"/>
                <w:sz w:val="20"/>
              </w:rPr>
            </w:pPr>
            <w:r w:rsidRPr="00BD403A">
              <w:rPr>
                <w:rFonts w:ascii="Arial" w:hAnsi="Arial" w:cs="Arial"/>
                <w:color w:val="000000"/>
                <w:kern w:val="0"/>
                <w:sz w:val="20"/>
              </w:rPr>
              <w:t xml:space="preserve">Suspected Safeguarding </w:t>
            </w:r>
          </w:p>
          <w:p w14:paraId="28E2CAE2" w14:textId="77777777" w:rsidR="00294575" w:rsidRPr="00BD403A" w:rsidRDefault="00294575" w:rsidP="00294575">
            <w:pPr>
              <w:widowControl/>
              <w:suppressAutoHyphens w:val="0"/>
              <w:autoSpaceDE w:val="0"/>
              <w:adjustRightInd w:val="0"/>
              <w:textAlignment w:val="auto"/>
              <w:rPr>
                <w:rFonts w:ascii="Arial" w:hAnsi="Arial" w:cs="Arial"/>
                <w:color w:val="000000"/>
                <w:kern w:val="0"/>
                <w:sz w:val="20"/>
              </w:rPr>
            </w:pPr>
            <w:r w:rsidRPr="00BD403A">
              <w:rPr>
                <w:rFonts w:ascii="Arial" w:hAnsi="Arial" w:cs="Arial"/>
                <w:color w:val="000000"/>
                <w:kern w:val="0"/>
                <w:sz w:val="20"/>
              </w:rPr>
              <w:t xml:space="preserve">Issues </w:t>
            </w:r>
          </w:p>
        </w:tc>
        <w:tc>
          <w:tcPr>
            <w:tcW w:w="1716" w:type="dxa"/>
          </w:tcPr>
          <w:p w14:paraId="1F8DFE98" w14:textId="77777777" w:rsidR="00294575" w:rsidRPr="00BD403A" w:rsidRDefault="00294575" w:rsidP="00294575">
            <w:pPr>
              <w:widowControl/>
              <w:suppressAutoHyphens w:val="0"/>
              <w:autoSpaceDE w:val="0"/>
              <w:adjustRightInd w:val="0"/>
              <w:textAlignment w:val="auto"/>
              <w:rPr>
                <w:rFonts w:ascii="Arial" w:hAnsi="Arial" w:cs="Arial"/>
                <w:color w:val="000000"/>
                <w:kern w:val="0"/>
                <w:sz w:val="20"/>
              </w:rPr>
            </w:pPr>
            <w:r w:rsidRPr="00BD403A">
              <w:rPr>
                <w:rFonts w:ascii="Arial" w:hAnsi="Arial" w:cs="Arial"/>
                <w:color w:val="000000"/>
                <w:kern w:val="0"/>
                <w:sz w:val="20"/>
              </w:rPr>
              <w:t xml:space="preserve">Any </w:t>
            </w:r>
          </w:p>
        </w:tc>
        <w:tc>
          <w:tcPr>
            <w:tcW w:w="10544" w:type="dxa"/>
          </w:tcPr>
          <w:p w14:paraId="256CD36E" w14:textId="77777777" w:rsidR="00294575" w:rsidRPr="00BD403A" w:rsidRDefault="00294575" w:rsidP="00294575">
            <w:pPr>
              <w:widowControl/>
              <w:suppressAutoHyphens w:val="0"/>
              <w:autoSpaceDE w:val="0"/>
              <w:adjustRightInd w:val="0"/>
              <w:textAlignment w:val="auto"/>
              <w:rPr>
                <w:rFonts w:ascii="Arial" w:hAnsi="Arial" w:cs="Arial"/>
                <w:color w:val="000000"/>
                <w:kern w:val="0"/>
                <w:sz w:val="20"/>
              </w:rPr>
            </w:pPr>
            <w:r w:rsidRPr="00BD403A">
              <w:rPr>
                <w:rFonts w:ascii="Arial" w:hAnsi="Arial" w:cs="Arial"/>
                <w:color w:val="000000"/>
                <w:kern w:val="0"/>
                <w:sz w:val="20"/>
              </w:rPr>
              <w:t xml:space="preserve">Where there exist suspected adult or child safeguarding concerns </w:t>
            </w:r>
          </w:p>
        </w:tc>
        <w:tc>
          <w:tcPr>
            <w:tcW w:w="1276" w:type="dxa"/>
          </w:tcPr>
          <w:p w14:paraId="5AF7DE01" w14:textId="30008575" w:rsidR="00294575" w:rsidRPr="00BD403A" w:rsidRDefault="00052B2E" w:rsidP="00294575">
            <w:pPr>
              <w:widowControl/>
              <w:suppressAutoHyphens w:val="0"/>
              <w:autoSpaceDE w:val="0"/>
              <w:adjustRightInd w:val="0"/>
              <w:textAlignment w:val="auto"/>
              <w:rPr>
                <w:rFonts w:ascii="Arial" w:hAnsi="Arial" w:cs="Arial"/>
                <w:color w:val="000000"/>
                <w:kern w:val="0"/>
                <w:sz w:val="20"/>
              </w:rPr>
            </w:pPr>
            <w:r w:rsidRPr="00BD403A">
              <w:rPr>
                <w:rFonts w:ascii="Arial" w:hAnsi="Arial" w:cs="Arial"/>
                <w:color w:val="000000"/>
                <w:kern w:val="0"/>
                <w:sz w:val="20"/>
              </w:rPr>
              <w:t>Inclusion</w:t>
            </w:r>
          </w:p>
        </w:tc>
      </w:tr>
    </w:tbl>
    <w:p w14:paraId="68480439" w14:textId="77777777" w:rsidR="000E0851" w:rsidRPr="00BD403A" w:rsidRDefault="000E0851" w:rsidP="00A43714">
      <w:pPr>
        <w:rPr>
          <w:rFonts w:ascii="Arial" w:hAnsi="Arial" w:cs="Arial"/>
          <w:color w:val="000000"/>
          <w:kern w:val="0"/>
          <w:sz w:val="20"/>
        </w:rPr>
      </w:pPr>
    </w:p>
    <w:p w14:paraId="19A615C4" w14:textId="0771E5F5" w:rsidR="000B7BB8" w:rsidRPr="00734651" w:rsidRDefault="000F3CAE" w:rsidP="00734651">
      <w:pPr>
        <w:ind w:left="360"/>
        <w:rPr>
          <w:rFonts w:ascii="Arial" w:hAnsi="Arial" w:cs="Arial"/>
          <w:b/>
          <w:bCs/>
          <w:sz w:val="20"/>
        </w:rPr>
      </w:pPr>
      <w:r>
        <w:rPr>
          <w:rFonts w:ascii="Arial" w:hAnsi="Arial" w:cs="Arial"/>
          <w:b/>
          <w:bCs/>
          <w:sz w:val="20"/>
        </w:rPr>
        <w:t>10.</w:t>
      </w:r>
      <w:r w:rsidR="00A04EA9" w:rsidRPr="00734651">
        <w:rPr>
          <w:rFonts w:ascii="Arial" w:hAnsi="Arial" w:cs="Arial"/>
          <w:b/>
          <w:bCs/>
          <w:sz w:val="20"/>
        </w:rPr>
        <w:t xml:space="preserve">Referrals </w:t>
      </w:r>
      <w:r w:rsidR="00723B83" w:rsidRPr="00734651">
        <w:rPr>
          <w:rFonts w:ascii="Arial" w:hAnsi="Arial" w:cs="Arial"/>
          <w:b/>
          <w:bCs/>
          <w:sz w:val="20"/>
        </w:rPr>
        <w:t xml:space="preserve">for </w:t>
      </w:r>
      <w:r w:rsidR="00A04EA9" w:rsidRPr="00734651">
        <w:rPr>
          <w:rFonts w:ascii="Arial" w:hAnsi="Arial" w:cs="Arial"/>
          <w:b/>
          <w:bCs/>
          <w:sz w:val="20"/>
        </w:rPr>
        <w:t>Musc</w:t>
      </w:r>
      <w:r w:rsidR="006967E2" w:rsidRPr="00734651">
        <w:rPr>
          <w:rFonts w:ascii="Arial" w:hAnsi="Arial" w:cs="Arial"/>
          <w:b/>
          <w:bCs/>
          <w:sz w:val="20"/>
        </w:rPr>
        <w:t>u</w:t>
      </w:r>
      <w:r w:rsidR="00A04EA9" w:rsidRPr="00734651">
        <w:rPr>
          <w:rFonts w:ascii="Arial" w:hAnsi="Arial" w:cs="Arial"/>
          <w:b/>
          <w:bCs/>
          <w:sz w:val="20"/>
        </w:rPr>
        <w:t>loskeletal services, including pain management</w:t>
      </w:r>
    </w:p>
    <w:p w14:paraId="139DCA9C" w14:textId="3CA349CF" w:rsidR="001B175E" w:rsidRPr="00BD403A" w:rsidRDefault="006D125C" w:rsidP="006D125C">
      <w:pPr>
        <w:rPr>
          <w:rFonts w:ascii="Arial" w:hAnsi="Arial" w:cs="Arial"/>
          <w:sz w:val="20"/>
        </w:rPr>
      </w:pPr>
      <w:r w:rsidRPr="00BD403A">
        <w:rPr>
          <w:rFonts w:ascii="Arial" w:hAnsi="Arial" w:cs="Arial"/>
          <w:sz w:val="20"/>
        </w:rPr>
        <w:t xml:space="preserve">All referrals in </w:t>
      </w:r>
      <w:r w:rsidR="000A15C1">
        <w:rPr>
          <w:rFonts w:ascii="Arial" w:hAnsi="Arial" w:cs="Arial"/>
          <w:sz w:val="20"/>
        </w:rPr>
        <w:t xml:space="preserve">BOB ICS </w:t>
      </w:r>
      <w:r w:rsidRPr="00BD403A">
        <w:rPr>
          <w:rFonts w:ascii="Arial" w:hAnsi="Arial" w:cs="Arial"/>
          <w:sz w:val="20"/>
        </w:rPr>
        <w:t xml:space="preserve">for MSK, go via </w:t>
      </w:r>
      <w:r w:rsidR="000A15C1">
        <w:rPr>
          <w:rFonts w:ascii="Arial" w:hAnsi="Arial" w:cs="Arial"/>
          <w:sz w:val="20"/>
        </w:rPr>
        <w:t>a</w:t>
      </w:r>
      <w:r w:rsidRPr="00BD403A">
        <w:rPr>
          <w:rFonts w:ascii="Arial" w:hAnsi="Arial" w:cs="Arial"/>
          <w:sz w:val="20"/>
        </w:rPr>
        <w:t xml:space="preserve"> MSK assessment, </w:t>
      </w:r>
      <w:proofErr w:type="gramStart"/>
      <w:r w:rsidRPr="00BD403A">
        <w:rPr>
          <w:rFonts w:ascii="Arial" w:hAnsi="Arial" w:cs="Arial"/>
          <w:sz w:val="20"/>
        </w:rPr>
        <w:t>triage</w:t>
      </w:r>
      <w:proofErr w:type="gramEnd"/>
      <w:r w:rsidRPr="00BD403A">
        <w:rPr>
          <w:rFonts w:ascii="Arial" w:hAnsi="Arial" w:cs="Arial"/>
          <w:sz w:val="20"/>
        </w:rPr>
        <w:t xml:space="preserve"> and treatment service (MATT) whether from a GP or from a community service or secondary care </w:t>
      </w:r>
      <w:r w:rsidRPr="00BD403A">
        <w:rPr>
          <w:rFonts w:ascii="Arial" w:eastAsia="Calibri" w:hAnsi="Arial" w:cs="Arial"/>
          <w:kern w:val="0"/>
          <w:sz w:val="20"/>
        </w:rPr>
        <w:t>w</w:t>
      </w:r>
      <w:r w:rsidR="00100E96" w:rsidRPr="00BD403A">
        <w:rPr>
          <w:rFonts w:ascii="Arial" w:eastAsia="Calibri" w:hAnsi="Arial" w:cs="Arial"/>
          <w:kern w:val="0"/>
          <w:sz w:val="20"/>
        </w:rPr>
        <w:t>h</w:t>
      </w:r>
      <w:r w:rsidR="001B175E" w:rsidRPr="00BD403A">
        <w:rPr>
          <w:rFonts w:ascii="Arial" w:eastAsia="Calibri" w:hAnsi="Arial" w:cs="Arial"/>
          <w:kern w:val="0"/>
          <w:sz w:val="20"/>
        </w:rPr>
        <w:t>en patients require referral to:</w:t>
      </w:r>
    </w:p>
    <w:p w14:paraId="27728450" w14:textId="77777777" w:rsidR="001B175E" w:rsidRPr="00270867" w:rsidRDefault="00A04EA9" w:rsidP="001B175E">
      <w:pPr>
        <w:pStyle w:val="ListParagraph"/>
        <w:numPr>
          <w:ilvl w:val="0"/>
          <w:numId w:val="47"/>
        </w:numPr>
        <w:suppressAutoHyphens w:val="0"/>
        <w:autoSpaceDN/>
        <w:textAlignment w:val="auto"/>
        <w:rPr>
          <w:rFonts w:ascii="Arial" w:eastAsia="Calibri" w:hAnsi="Arial" w:cs="Arial"/>
          <w:kern w:val="0"/>
          <w:sz w:val="20"/>
          <w:szCs w:val="20"/>
        </w:rPr>
      </w:pPr>
      <w:r w:rsidRPr="00270867">
        <w:rPr>
          <w:rFonts w:ascii="Arial" w:eastAsia="Calibri" w:hAnsi="Arial" w:cs="Arial"/>
          <w:kern w:val="0"/>
          <w:sz w:val="20"/>
          <w:szCs w:val="20"/>
        </w:rPr>
        <w:t xml:space="preserve">MSK Orthopaedics, </w:t>
      </w:r>
    </w:p>
    <w:p w14:paraId="6F4AA908" w14:textId="2FCEC16E" w:rsidR="001B175E" w:rsidRPr="00270867" w:rsidRDefault="00A04EA9" w:rsidP="001B175E">
      <w:pPr>
        <w:pStyle w:val="ListParagraph"/>
        <w:numPr>
          <w:ilvl w:val="0"/>
          <w:numId w:val="47"/>
        </w:numPr>
        <w:suppressAutoHyphens w:val="0"/>
        <w:autoSpaceDN/>
        <w:textAlignment w:val="auto"/>
        <w:rPr>
          <w:rFonts w:ascii="Arial" w:eastAsia="Calibri" w:hAnsi="Arial" w:cs="Arial"/>
          <w:kern w:val="0"/>
          <w:sz w:val="20"/>
          <w:szCs w:val="20"/>
        </w:rPr>
      </w:pPr>
      <w:r w:rsidRPr="00270867">
        <w:rPr>
          <w:rFonts w:ascii="Arial" w:eastAsia="Calibri" w:hAnsi="Arial" w:cs="Arial"/>
          <w:kern w:val="0"/>
          <w:sz w:val="20"/>
          <w:szCs w:val="20"/>
        </w:rPr>
        <w:t xml:space="preserve">MSK </w:t>
      </w:r>
      <w:r w:rsidR="00BF0705" w:rsidRPr="00270867">
        <w:rPr>
          <w:rFonts w:ascii="Arial" w:eastAsia="Calibri" w:hAnsi="Arial" w:cs="Arial"/>
          <w:kern w:val="0"/>
          <w:sz w:val="20"/>
          <w:szCs w:val="20"/>
        </w:rPr>
        <w:t>P</w:t>
      </w:r>
      <w:r w:rsidRPr="00270867">
        <w:rPr>
          <w:rFonts w:ascii="Arial" w:eastAsia="Calibri" w:hAnsi="Arial" w:cs="Arial"/>
          <w:kern w:val="0"/>
          <w:sz w:val="20"/>
          <w:szCs w:val="20"/>
        </w:rPr>
        <w:t xml:space="preserve">hysiotherapy, </w:t>
      </w:r>
    </w:p>
    <w:p w14:paraId="1E438C0C" w14:textId="77777777" w:rsidR="001B175E" w:rsidRPr="00270867" w:rsidRDefault="00A04EA9" w:rsidP="001B175E">
      <w:pPr>
        <w:pStyle w:val="ListParagraph"/>
        <w:numPr>
          <w:ilvl w:val="0"/>
          <w:numId w:val="47"/>
        </w:numPr>
        <w:suppressAutoHyphens w:val="0"/>
        <w:autoSpaceDN/>
        <w:textAlignment w:val="auto"/>
        <w:rPr>
          <w:rFonts w:ascii="Arial" w:eastAsia="Calibri" w:hAnsi="Arial" w:cs="Arial"/>
          <w:kern w:val="0"/>
          <w:sz w:val="20"/>
          <w:szCs w:val="20"/>
        </w:rPr>
      </w:pPr>
      <w:r w:rsidRPr="00270867">
        <w:rPr>
          <w:rFonts w:ascii="Arial" w:eastAsia="Calibri" w:hAnsi="Arial" w:cs="Arial"/>
          <w:kern w:val="0"/>
          <w:sz w:val="20"/>
          <w:szCs w:val="20"/>
        </w:rPr>
        <w:t xml:space="preserve">MSK plastic surgery, </w:t>
      </w:r>
    </w:p>
    <w:p w14:paraId="206070D1" w14:textId="77777777" w:rsidR="001B175E" w:rsidRPr="00270867" w:rsidRDefault="00A04EA9" w:rsidP="001B175E">
      <w:pPr>
        <w:pStyle w:val="ListParagraph"/>
        <w:numPr>
          <w:ilvl w:val="0"/>
          <w:numId w:val="47"/>
        </w:numPr>
        <w:suppressAutoHyphens w:val="0"/>
        <w:autoSpaceDN/>
        <w:textAlignment w:val="auto"/>
        <w:rPr>
          <w:rFonts w:ascii="Arial" w:eastAsia="Calibri" w:hAnsi="Arial" w:cs="Arial"/>
          <w:kern w:val="0"/>
          <w:sz w:val="20"/>
          <w:szCs w:val="20"/>
        </w:rPr>
      </w:pPr>
      <w:r w:rsidRPr="00270867">
        <w:rPr>
          <w:rFonts w:ascii="Arial" w:eastAsia="Calibri" w:hAnsi="Arial" w:cs="Arial"/>
          <w:kern w:val="0"/>
          <w:sz w:val="20"/>
          <w:szCs w:val="20"/>
        </w:rPr>
        <w:t xml:space="preserve">MSK </w:t>
      </w:r>
      <w:r w:rsidR="00A1310D" w:rsidRPr="00270867">
        <w:rPr>
          <w:rFonts w:ascii="Arial" w:eastAsia="Calibri" w:hAnsi="Arial" w:cs="Arial"/>
          <w:kern w:val="0"/>
          <w:sz w:val="20"/>
          <w:szCs w:val="20"/>
        </w:rPr>
        <w:t xml:space="preserve">Rheumatology or </w:t>
      </w:r>
    </w:p>
    <w:p w14:paraId="2ED4CE34" w14:textId="4262289E" w:rsidR="001B175E" w:rsidRPr="00270867" w:rsidRDefault="001B175E" w:rsidP="001B175E">
      <w:pPr>
        <w:pStyle w:val="ListParagraph"/>
        <w:numPr>
          <w:ilvl w:val="0"/>
          <w:numId w:val="47"/>
        </w:numPr>
        <w:suppressAutoHyphens w:val="0"/>
        <w:autoSpaceDN/>
        <w:textAlignment w:val="auto"/>
        <w:rPr>
          <w:rFonts w:ascii="Arial" w:eastAsia="Calibri" w:hAnsi="Arial" w:cs="Arial"/>
          <w:kern w:val="0"/>
          <w:sz w:val="20"/>
          <w:szCs w:val="20"/>
        </w:rPr>
      </w:pPr>
      <w:r w:rsidRPr="00270867">
        <w:rPr>
          <w:rFonts w:ascii="Arial" w:eastAsia="Calibri" w:hAnsi="Arial" w:cs="Arial"/>
          <w:kern w:val="0"/>
          <w:sz w:val="20"/>
          <w:szCs w:val="20"/>
        </w:rPr>
        <w:t>P</w:t>
      </w:r>
      <w:r w:rsidR="00100E96" w:rsidRPr="00270867">
        <w:rPr>
          <w:rFonts w:ascii="Arial" w:eastAsia="Calibri" w:hAnsi="Arial" w:cs="Arial"/>
          <w:kern w:val="0"/>
          <w:sz w:val="20"/>
          <w:szCs w:val="20"/>
        </w:rPr>
        <w:t xml:space="preserve">ain management </w:t>
      </w:r>
      <w:r w:rsidRPr="00270867">
        <w:rPr>
          <w:rFonts w:ascii="Arial" w:eastAsia="Calibri" w:hAnsi="Arial" w:cs="Arial"/>
          <w:kern w:val="0"/>
          <w:sz w:val="20"/>
          <w:szCs w:val="20"/>
        </w:rPr>
        <w:t>services</w:t>
      </w:r>
      <w:r w:rsidR="006967E2" w:rsidRPr="00270867">
        <w:rPr>
          <w:rFonts w:ascii="Arial" w:eastAsia="Calibri" w:hAnsi="Arial" w:cs="Arial"/>
          <w:kern w:val="0"/>
          <w:sz w:val="20"/>
          <w:szCs w:val="20"/>
        </w:rPr>
        <w:t xml:space="preserve"> </w:t>
      </w:r>
      <w:r w:rsidRPr="00270867">
        <w:rPr>
          <w:rFonts w:ascii="Arial" w:eastAsia="Calibri" w:hAnsi="Arial" w:cs="Arial"/>
          <w:kern w:val="0"/>
          <w:sz w:val="20"/>
          <w:szCs w:val="20"/>
        </w:rPr>
        <w:t xml:space="preserve">for </w:t>
      </w:r>
      <w:r w:rsidR="002F0380" w:rsidRPr="00270867">
        <w:rPr>
          <w:rFonts w:ascii="Arial" w:eastAsia="Calibri" w:hAnsi="Arial" w:cs="Arial"/>
          <w:kern w:val="0"/>
          <w:sz w:val="20"/>
          <w:szCs w:val="20"/>
        </w:rPr>
        <w:t xml:space="preserve">all patients requiring pain management support or intervention, not just Musculoskeletal </w:t>
      </w:r>
      <w:proofErr w:type="gramStart"/>
      <w:r w:rsidR="002F0380" w:rsidRPr="00270867">
        <w:rPr>
          <w:rFonts w:ascii="Arial" w:eastAsia="Calibri" w:hAnsi="Arial" w:cs="Arial"/>
          <w:kern w:val="0"/>
          <w:sz w:val="20"/>
          <w:szCs w:val="20"/>
        </w:rPr>
        <w:t>conditions</w:t>
      </w:r>
      <w:proofErr w:type="gramEnd"/>
      <w:r w:rsidR="00100E96" w:rsidRPr="00270867">
        <w:rPr>
          <w:rFonts w:ascii="Arial" w:eastAsia="Calibri" w:hAnsi="Arial" w:cs="Arial"/>
          <w:kern w:val="0"/>
          <w:sz w:val="20"/>
          <w:szCs w:val="20"/>
        </w:rPr>
        <w:t xml:space="preserve"> </w:t>
      </w:r>
    </w:p>
    <w:p w14:paraId="34F77749" w14:textId="78F904D9" w:rsidR="00100E96" w:rsidRPr="00BD403A" w:rsidRDefault="001B175E" w:rsidP="001B175E">
      <w:pPr>
        <w:suppressAutoHyphens w:val="0"/>
        <w:autoSpaceDN/>
        <w:textAlignment w:val="auto"/>
        <w:rPr>
          <w:rFonts w:ascii="Arial" w:eastAsia="Calibri" w:hAnsi="Arial" w:cs="Arial"/>
          <w:kern w:val="0"/>
          <w:sz w:val="20"/>
        </w:rPr>
      </w:pPr>
      <w:r w:rsidRPr="00BD403A">
        <w:rPr>
          <w:rFonts w:ascii="Arial" w:eastAsia="Calibri" w:hAnsi="Arial" w:cs="Arial"/>
          <w:kern w:val="0"/>
          <w:sz w:val="20"/>
        </w:rPr>
        <w:t>T</w:t>
      </w:r>
      <w:r w:rsidR="00100E96" w:rsidRPr="00BD403A">
        <w:rPr>
          <w:rFonts w:ascii="Arial" w:eastAsia="Calibri" w:hAnsi="Arial" w:cs="Arial"/>
          <w:kern w:val="0"/>
          <w:sz w:val="20"/>
        </w:rPr>
        <w:t xml:space="preserve">hese should be forwarded directly to </w:t>
      </w:r>
      <w:r w:rsidR="00A1310D" w:rsidRPr="00BD403A">
        <w:rPr>
          <w:rFonts w:ascii="Arial" w:eastAsia="Calibri" w:hAnsi="Arial" w:cs="Arial"/>
          <w:kern w:val="0"/>
          <w:sz w:val="20"/>
        </w:rPr>
        <w:t>the MSK MAT</w:t>
      </w:r>
      <w:r w:rsidR="000A15C1">
        <w:rPr>
          <w:rFonts w:ascii="Arial" w:eastAsia="Calibri" w:hAnsi="Arial" w:cs="Arial"/>
          <w:kern w:val="0"/>
          <w:sz w:val="20"/>
        </w:rPr>
        <w:t xml:space="preserve"> or </w:t>
      </w:r>
      <w:proofErr w:type="spellStart"/>
      <w:r w:rsidR="000A15C1">
        <w:rPr>
          <w:rFonts w:ascii="Arial" w:eastAsia="Calibri" w:hAnsi="Arial" w:cs="Arial"/>
          <w:kern w:val="0"/>
          <w:sz w:val="20"/>
        </w:rPr>
        <w:t>eqivalent</w:t>
      </w:r>
      <w:proofErr w:type="spellEnd"/>
      <w:r w:rsidR="000A15C1">
        <w:rPr>
          <w:rFonts w:ascii="Arial" w:eastAsia="Calibri" w:hAnsi="Arial" w:cs="Arial"/>
          <w:kern w:val="0"/>
          <w:sz w:val="20"/>
        </w:rPr>
        <w:t xml:space="preserve"> in Bucks and Berks West</w:t>
      </w:r>
      <w:r w:rsidR="006D125C" w:rsidRPr="00DA325C">
        <w:rPr>
          <w:rStyle w:val="CommentReference"/>
          <w:rFonts w:ascii="Arial" w:hAnsi="Arial" w:cs="Arial"/>
          <w:sz w:val="20"/>
          <w:szCs w:val="20"/>
        </w:rPr>
        <w:t xml:space="preserve">. </w:t>
      </w:r>
      <w:r w:rsidR="00A1310D" w:rsidRPr="00BD403A">
        <w:rPr>
          <w:rFonts w:ascii="Arial" w:eastAsia="Calibri" w:hAnsi="Arial" w:cs="Arial"/>
          <w:kern w:val="0"/>
          <w:sz w:val="20"/>
        </w:rPr>
        <w:t xml:space="preserve">These referrals </w:t>
      </w:r>
      <w:r w:rsidR="00100E96" w:rsidRPr="00BD403A">
        <w:rPr>
          <w:rFonts w:ascii="Arial" w:eastAsia="Calibri" w:hAnsi="Arial" w:cs="Arial"/>
          <w:b/>
          <w:kern w:val="0"/>
          <w:sz w:val="20"/>
        </w:rPr>
        <w:t>should not</w:t>
      </w:r>
      <w:r w:rsidR="00100E96" w:rsidRPr="00BD403A">
        <w:rPr>
          <w:rFonts w:ascii="Arial" w:eastAsia="Calibri" w:hAnsi="Arial" w:cs="Arial"/>
          <w:kern w:val="0"/>
          <w:sz w:val="20"/>
        </w:rPr>
        <w:t xml:space="preserve"> be sent back to the referrer</w:t>
      </w:r>
      <w:r w:rsidR="00A1310D" w:rsidRPr="00BD403A">
        <w:rPr>
          <w:rFonts w:ascii="Arial" w:eastAsia="Calibri" w:hAnsi="Arial" w:cs="Arial"/>
          <w:kern w:val="0"/>
          <w:sz w:val="20"/>
        </w:rPr>
        <w:t>, but directly to</w:t>
      </w:r>
      <w:r w:rsidR="00723B83" w:rsidRPr="00BD403A">
        <w:rPr>
          <w:rFonts w:ascii="Arial" w:eastAsia="Calibri" w:hAnsi="Arial" w:cs="Arial"/>
          <w:kern w:val="0"/>
          <w:sz w:val="20"/>
        </w:rPr>
        <w:t xml:space="preserve"> the MSK </w:t>
      </w:r>
      <w:r w:rsidR="000A15C1">
        <w:rPr>
          <w:rFonts w:ascii="Arial" w:eastAsia="Calibri" w:hAnsi="Arial" w:cs="Arial"/>
          <w:kern w:val="0"/>
          <w:sz w:val="20"/>
        </w:rPr>
        <w:t>service</w:t>
      </w:r>
      <w:r w:rsidR="00A1310D" w:rsidRPr="00BD403A">
        <w:rPr>
          <w:rFonts w:ascii="Arial" w:eastAsia="Calibri" w:hAnsi="Arial" w:cs="Arial"/>
          <w:kern w:val="0"/>
          <w:sz w:val="20"/>
        </w:rPr>
        <w:t xml:space="preserve"> via </w:t>
      </w:r>
      <w:r w:rsidR="002F0380" w:rsidRPr="00BD403A">
        <w:rPr>
          <w:rFonts w:ascii="Arial" w:eastAsia="Calibri" w:hAnsi="Arial" w:cs="Arial"/>
          <w:kern w:val="0"/>
          <w:sz w:val="20"/>
        </w:rPr>
        <w:t xml:space="preserve">the </w:t>
      </w:r>
      <w:proofErr w:type="spellStart"/>
      <w:r w:rsidR="002F0380" w:rsidRPr="00BD403A">
        <w:rPr>
          <w:rFonts w:ascii="Arial" w:eastAsia="Calibri" w:hAnsi="Arial" w:cs="Arial"/>
          <w:kern w:val="0"/>
          <w:sz w:val="20"/>
        </w:rPr>
        <w:t>e-referral</w:t>
      </w:r>
      <w:proofErr w:type="spellEnd"/>
      <w:r w:rsidR="002F0380" w:rsidRPr="00BD403A">
        <w:rPr>
          <w:rFonts w:ascii="Arial" w:eastAsia="Calibri" w:hAnsi="Arial" w:cs="Arial"/>
          <w:kern w:val="0"/>
          <w:sz w:val="20"/>
        </w:rPr>
        <w:t xml:space="preserve"> service where available and otherwise electronically from an nhs.net email account to</w:t>
      </w:r>
      <w:r w:rsidR="00350F9E" w:rsidRPr="00350F9E">
        <w:rPr>
          <w:rFonts w:ascii="Arial" w:eastAsia="Calibri" w:hAnsi="Arial" w:cs="Arial"/>
          <w:kern w:val="0"/>
          <w:sz w:val="20"/>
        </w:rPr>
        <w:t xml:space="preserve"> </w:t>
      </w:r>
      <w:r w:rsidR="00350F9E" w:rsidRPr="005F4C99">
        <w:rPr>
          <w:rFonts w:ascii="Arial" w:eastAsia="Calibri" w:hAnsi="Arial" w:cs="Arial"/>
          <w:kern w:val="0"/>
          <w:sz w:val="20"/>
        </w:rPr>
        <w:t>oxfordshire.msk@nhs.net</w:t>
      </w:r>
      <w:r w:rsidR="00350F9E">
        <w:rPr>
          <w:rFonts w:ascii="Arial" w:eastAsia="Calibri" w:hAnsi="Arial" w:cs="Arial"/>
          <w:kern w:val="0"/>
          <w:sz w:val="20"/>
        </w:rPr>
        <w:t xml:space="preserve"> (for Oxfordshire patients)</w:t>
      </w:r>
      <w:r w:rsidR="00100E96" w:rsidRPr="00BD403A">
        <w:rPr>
          <w:rFonts w:ascii="Arial" w:eastAsia="Calibri" w:hAnsi="Arial" w:cs="Arial"/>
          <w:kern w:val="0"/>
          <w:sz w:val="20"/>
        </w:rPr>
        <w:t xml:space="preserve">. </w:t>
      </w:r>
      <w:r w:rsidR="002F0380" w:rsidRPr="00BD403A">
        <w:rPr>
          <w:rFonts w:ascii="Arial" w:eastAsia="Calibri" w:hAnsi="Arial" w:cs="Arial"/>
          <w:kern w:val="0"/>
          <w:sz w:val="20"/>
        </w:rPr>
        <w:t xml:space="preserve">Consultants should also follow any guidance or templates </w:t>
      </w:r>
      <w:r w:rsidR="00723B83" w:rsidRPr="00BD403A">
        <w:rPr>
          <w:rFonts w:ascii="Arial" w:eastAsia="Calibri" w:hAnsi="Arial" w:cs="Arial"/>
          <w:kern w:val="0"/>
          <w:sz w:val="20"/>
        </w:rPr>
        <w:t>advising on</w:t>
      </w:r>
      <w:r w:rsidR="006967E2" w:rsidRPr="00BD403A">
        <w:rPr>
          <w:rFonts w:ascii="Arial" w:eastAsia="Calibri" w:hAnsi="Arial" w:cs="Arial"/>
          <w:kern w:val="0"/>
          <w:sz w:val="20"/>
        </w:rPr>
        <w:t xml:space="preserve"> </w:t>
      </w:r>
      <w:r w:rsidR="002F0380" w:rsidRPr="00BD403A">
        <w:rPr>
          <w:rFonts w:ascii="Arial" w:eastAsia="Calibri" w:hAnsi="Arial" w:cs="Arial"/>
          <w:kern w:val="0"/>
          <w:sz w:val="20"/>
        </w:rPr>
        <w:t>information</w:t>
      </w:r>
      <w:r w:rsidR="006967E2" w:rsidRPr="00BD403A">
        <w:rPr>
          <w:rFonts w:ascii="Arial" w:eastAsia="Calibri" w:hAnsi="Arial" w:cs="Arial"/>
          <w:kern w:val="0"/>
          <w:sz w:val="20"/>
        </w:rPr>
        <w:t xml:space="preserve"> </w:t>
      </w:r>
      <w:r w:rsidR="002F0380" w:rsidRPr="00BD403A">
        <w:rPr>
          <w:rFonts w:ascii="Arial" w:eastAsia="Calibri" w:hAnsi="Arial" w:cs="Arial"/>
          <w:kern w:val="0"/>
          <w:sz w:val="20"/>
        </w:rPr>
        <w:t>required with the referral</w:t>
      </w:r>
      <w:r w:rsidR="00723B83" w:rsidRPr="00BD403A">
        <w:rPr>
          <w:rFonts w:ascii="Arial" w:eastAsia="Calibri" w:hAnsi="Arial" w:cs="Arial"/>
          <w:kern w:val="0"/>
          <w:sz w:val="20"/>
        </w:rPr>
        <w:t>.</w:t>
      </w:r>
      <w:r w:rsidR="006967E2" w:rsidRPr="00BD403A">
        <w:rPr>
          <w:rFonts w:ascii="Arial" w:eastAsia="Calibri" w:hAnsi="Arial" w:cs="Arial"/>
          <w:kern w:val="0"/>
          <w:sz w:val="20"/>
        </w:rPr>
        <w:t xml:space="preserve"> </w:t>
      </w:r>
      <w:r w:rsidR="00100E96" w:rsidRPr="00BD403A">
        <w:rPr>
          <w:rFonts w:ascii="Arial" w:eastAsia="Calibri" w:hAnsi="Arial" w:cs="Arial"/>
          <w:kern w:val="0"/>
          <w:sz w:val="20"/>
        </w:rPr>
        <w:t xml:space="preserve">The </w:t>
      </w:r>
      <w:r w:rsidR="00723B83" w:rsidRPr="00BD403A">
        <w:rPr>
          <w:rFonts w:ascii="Arial" w:eastAsia="Calibri" w:hAnsi="Arial" w:cs="Arial"/>
          <w:kern w:val="0"/>
          <w:sz w:val="20"/>
        </w:rPr>
        <w:t>M</w:t>
      </w:r>
      <w:r w:rsidR="000A15C1">
        <w:rPr>
          <w:rFonts w:ascii="Arial" w:eastAsia="Calibri" w:hAnsi="Arial" w:cs="Arial"/>
          <w:kern w:val="0"/>
          <w:sz w:val="20"/>
        </w:rPr>
        <w:t>SK</w:t>
      </w:r>
      <w:r w:rsidR="00723B83" w:rsidRPr="00BD403A">
        <w:rPr>
          <w:rFonts w:ascii="Arial" w:eastAsia="Calibri" w:hAnsi="Arial" w:cs="Arial"/>
          <w:kern w:val="0"/>
          <w:sz w:val="20"/>
        </w:rPr>
        <w:t xml:space="preserve"> </w:t>
      </w:r>
      <w:r w:rsidR="00100E96" w:rsidRPr="00BD403A">
        <w:rPr>
          <w:rFonts w:ascii="Arial" w:eastAsia="Calibri" w:hAnsi="Arial" w:cs="Arial"/>
          <w:kern w:val="0"/>
          <w:sz w:val="20"/>
        </w:rPr>
        <w:t xml:space="preserve">team may then contact the patient directly to gather more information - such as current medications, previous pain interventions, psychological and social factors - to allow adequate triage assessment.  Onward referral </w:t>
      </w:r>
      <w:r w:rsidR="00723B83" w:rsidRPr="00BD403A">
        <w:rPr>
          <w:rFonts w:ascii="Arial" w:eastAsia="Calibri" w:hAnsi="Arial" w:cs="Arial"/>
          <w:kern w:val="0"/>
          <w:sz w:val="20"/>
        </w:rPr>
        <w:t xml:space="preserve">may </w:t>
      </w:r>
      <w:r w:rsidR="00100E96" w:rsidRPr="00BD403A">
        <w:rPr>
          <w:rFonts w:ascii="Arial" w:eastAsia="Calibri" w:hAnsi="Arial" w:cs="Arial"/>
          <w:kern w:val="0"/>
          <w:sz w:val="20"/>
        </w:rPr>
        <w:t xml:space="preserve">be made </w:t>
      </w:r>
      <w:r w:rsidR="002F0380" w:rsidRPr="00BD403A">
        <w:rPr>
          <w:rFonts w:ascii="Arial" w:eastAsia="Calibri" w:hAnsi="Arial" w:cs="Arial"/>
          <w:kern w:val="0"/>
          <w:sz w:val="20"/>
        </w:rPr>
        <w:t xml:space="preserve">or adjusted </w:t>
      </w:r>
      <w:r w:rsidR="00100E96" w:rsidRPr="00BD403A">
        <w:rPr>
          <w:rFonts w:ascii="Arial" w:eastAsia="Calibri" w:hAnsi="Arial" w:cs="Arial"/>
          <w:kern w:val="0"/>
          <w:sz w:val="20"/>
        </w:rPr>
        <w:t>if deemed clinically appropriate.</w:t>
      </w:r>
    </w:p>
    <w:p w14:paraId="6C19A5E2" w14:textId="2EFDADAA" w:rsidR="006967E2" w:rsidRPr="00BD403A" w:rsidRDefault="006967E2" w:rsidP="00A97EAD">
      <w:pPr>
        <w:rPr>
          <w:rFonts w:ascii="Arial" w:hAnsi="Arial" w:cs="Arial"/>
          <w:color w:val="000000"/>
          <w:sz w:val="20"/>
        </w:rPr>
      </w:pPr>
    </w:p>
    <w:p w14:paraId="038FB82E" w14:textId="63736CF0" w:rsidR="00A97EAD" w:rsidRPr="00734651" w:rsidRDefault="000F3CAE" w:rsidP="00734651">
      <w:pPr>
        <w:ind w:left="360"/>
        <w:rPr>
          <w:rFonts w:ascii="Arial" w:hAnsi="Arial" w:cs="Arial"/>
          <w:b/>
          <w:bCs/>
          <w:color w:val="000000"/>
          <w:sz w:val="20"/>
        </w:rPr>
      </w:pPr>
      <w:r>
        <w:rPr>
          <w:rFonts w:ascii="Arial" w:hAnsi="Arial" w:cs="Arial"/>
          <w:b/>
          <w:bCs/>
          <w:color w:val="000000"/>
          <w:sz w:val="20"/>
        </w:rPr>
        <w:t xml:space="preserve">11. </w:t>
      </w:r>
      <w:r w:rsidR="006967E2" w:rsidRPr="00734651">
        <w:rPr>
          <w:rFonts w:ascii="Arial" w:hAnsi="Arial" w:cs="Arial"/>
          <w:b/>
          <w:bCs/>
          <w:color w:val="000000"/>
          <w:sz w:val="20"/>
        </w:rPr>
        <w:t>Audit</w:t>
      </w:r>
    </w:p>
    <w:p w14:paraId="0B239413" w14:textId="7D6E0D90" w:rsidR="00A97EAD" w:rsidRDefault="006967E2" w:rsidP="00A97EAD">
      <w:pPr>
        <w:rPr>
          <w:rFonts w:ascii="Arial" w:hAnsi="Arial" w:cs="Arial"/>
          <w:color w:val="000000"/>
          <w:sz w:val="20"/>
        </w:rPr>
      </w:pPr>
      <w:r w:rsidRPr="00BD403A">
        <w:rPr>
          <w:rFonts w:ascii="Arial" w:hAnsi="Arial" w:cs="Arial"/>
          <w:color w:val="000000"/>
          <w:sz w:val="20"/>
        </w:rPr>
        <w:t>Joint audit of internal referrals (consultant to consultant) will be carried out at agreed intervals to ensure learning is shared with clinical teams and GPs and included in this policy if required.</w:t>
      </w:r>
    </w:p>
    <w:p w14:paraId="0168D38F" w14:textId="77777777" w:rsidR="000640A1" w:rsidRPr="00BD403A" w:rsidRDefault="000640A1" w:rsidP="00A97EAD">
      <w:pPr>
        <w:rPr>
          <w:rFonts w:ascii="Arial" w:hAnsi="Arial" w:cs="Arial"/>
          <w:color w:val="000000"/>
          <w:sz w:val="20"/>
        </w:rPr>
      </w:pPr>
    </w:p>
    <w:p w14:paraId="2EED1D34" w14:textId="11E6EF35" w:rsidR="00A97EAD" w:rsidRPr="00734651" w:rsidRDefault="00734651" w:rsidP="00734651">
      <w:pPr>
        <w:rPr>
          <w:rFonts w:ascii="Arial" w:eastAsiaTheme="minorHAnsi" w:hAnsi="Arial" w:cs="Arial"/>
          <w:b/>
          <w:bCs/>
          <w:sz w:val="20"/>
          <w:lang w:eastAsia="en-US"/>
        </w:rPr>
      </w:pPr>
      <w:r>
        <w:rPr>
          <w:rFonts w:ascii="Arial" w:eastAsiaTheme="minorHAnsi" w:hAnsi="Arial" w:cs="Arial"/>
          <w:b/>
          <w:bCs/>
          <w:sz w:val="20"/>
          <w:lang w:eastAsia="en-US"/>
        </w:rPr>
        <w:t xml:space="preserve">      </w:t>
      </w:r>
      <w:r w:rsidR="000F3CAE">
        <w:rPr>
          <w:rFonts w:ascii="Arial" w:eastAsiaTheme="minorHAnsi" w:hAnsi="Arial" w:cs="Arial"/>
          <w:b/>
          <w:bCs/>
          <w:sz w:val="20"/>
          <w:lang w:eastAsia="en-US"/>
        </w:rPr>
        <w:t xml:space="preserve">12. </w:t>
      </w:r>
      <w:r w:rsidR="00070F5D" w:rsidRPr="00734651">
        <w:rPr>
          <w:rFonts w:ascii="Arial" w:eastAsiaTheme="minorHAnsi" w:hAnsi="Arial" w:cs="Arial"/>
          <w:b/>
          <w:bCs/>
          <w:sz w:val="20"/>
          <w:lang w:eastAsia="en-US"/>
        </w:rPr>
        <w:t>Reference</w:t>
      </w:r>
      <w:r w:rsidR="004D3F9B" w:rsidRPr="00734651">
        <w:rPr>
          <w:rFonts w:ascii="Arial" w:eastAsiaTheme="minorHAnsi" w:hAnsi="Arial" w:cs="Arial"/>
          <w:b/>
          <w:bCs/>
          <w:sz w:val="20"/>
          <w:lang w:eastAsia="en-US"/>
        </w:rPr>
        <w:t>s:</w:t>
      </w:r>
    </w:p>
    <w:p w14:paraId="59861E71" w14:textId="04F8FA16" w:rsidR="00070F5D" w:rsidRPr="00BD403A" w:rsidRDefault="000640A1">
      <w:pPr>
        <w:widowControl/>
        <w:suppressAutoHyphens w:val="0"/>
        <w:autoSpaceDN/>
        <w:spacing w:after="200"/>
        <w:contextualSpacing/>
        <w:textAlignment w:val="auto"/>
        <w:outlineLvl w:val="1"/>
        <w:rPr>
          <w:rFonts w:ascii="Arial" w:eastAsiaTheme="minorHAnsi" w:hAnsi="Arial" w:cs="Arial"/>
          <w:sz w:val="20"/>
          <w:lang w:eastAsia="en-US"/>
        </w:rPr>
      </w:pPr>
      <w:hyperlink r:id="rId7" w:history="1">
        <w:r w:rsidR="004D3F9B" w:rsidRPr="00BD403A">
          <w:rPr>
            <w:rStyle w:val="Hyperlink"/>
            <w:rFonts w:ascii="Arial" w:eastAsiaTheme="minorHAnsi" w:hAnsi="Arial" w:cs="Arial"/>
            <w:sz w:val="20"/>
          </w:rPr>
          <w:t>https://www.england.nhs.uk/wp-content/uploads/2018/11/elective-care-good-practice-guid</w:t>
        </w:r>
        <w:r w:rsidR="004D3F9B" w:rsidRPr="00BD403A">
          <w:rPr>
            <w:rStyle w:val="Hyperlink"/>
            <w:rFonts w:ascii="Arial" w:eastAsiaTheme="minorHAnsi" w:hAnsi="Arial" w:cs="Arial"/>
            <w:sz w:val="20"/>
            <w:lang w:eastAsia="en-US"/>
          </w:rPr>
          <w:t>e.pdf</w:t>
        </w:r>
      </w:hyperlink>
    </w:p>
    <w:p w14:paraId="0927B14E" w14:textId="289702A4" w:rsidR="004D3F9B" w:rsidRPr="00BD403A" w:rsidRDefault="004D3F9B" w:rsidP="004D3F9B">
      <w:pPr>
        <w:widowControl/>
        <w:suppressAutoHyphens w:val="0"/>
        <w:autoSpaceDN/>
        <w:spacing w:after="200"/>
        <w:contextualSpacing/>
        <w:textAlignment w:val="auto"/>
        <w:outlineLvl w:val="1"/>
        <w:rPr>
          <w:rFonts w:ascii="Arial" w:eastAsiaTheme="minorHAnsi" w:hAnsi="Arial" w:cs="Arial"/>
          <w:sz w:val="20"/>
          <w:lang w:eastAsia="en-US"/>
        </w:rPr>
      </w:pPr>
    </w:p>
    <w:p w14:paraId="1A10D66F" w14:textId="5E27253A" w:rsidR="00A97EAD" w:rsidRPr="00734651" w:rsidRDefault="000640A1" w:rsidP="008C7FA5">
      <w:pPr>
        <w:widowControl/>
        <w:suppressAutoHyphens w:val="0"/>
        <w:autoSpaceDN/>
        <w:spacing w:after="200"/>
        <w:contextualSpacing/>
        <w:textAlignment w:val="auto"/>
        <w:outlineLvl w:val="1"/>
        <w:rPr>
          <w:rFonts w:ascii="Arial" w:eastAsiaTheme="minorHAnsi" w:hAnsi="Arial" w:cs="Arial"/>
          <w:sz w:val="20"/>
          <w:lang w:eastAsia="en-US"/>
        </w:rPr>
      </w:pPr>
      <w:hyperlink r:id="rId8" w:history="1">
        <w:r w:rsidR="006D125C" w:rsidRPr="00BD403A">
          <w:rPr>
            <w:rStyle w:val="Hyperlink"/>
            <w:rFonts w:ascii="Arial" w:hAnsi="Arial" w:cs="Arial"/>
            <w:sz w:val="20"/>
          </w:rPr>
          <w:t>https://www.bma.org.uk/advice-and-support/nhs-delivery-and-workforce/primary-and-secondary-care/primary-and-secondary-care-working-together</w:t>
        </w:r>
      </w:hyperlink>
    </w:p>
    <w:sectPr w:rsidR="00A97EAD" w:rsidRPr="00734651" w:rsidSect="004E57FF">
      <w:footerReference w:type="default" r:id="rId9"/>
      <w:type w:val="continuous"/>
      <w:pgSz w:w="16838" w:h="11906" w:orient="landscape"/>
      <w:pgMar w:top="1440" w:right="1440" w:bottom="1440" w:left="1440" w:header="708"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CAFE0" w14:textId="77777777" w:rsidR="004E57FF" w:rsidRDefault="004E57FF">
      <w:r>
        <w:separator/>
      </w:r>
    </w:p>
  </w:endnote>
  <w:endnote w:type="continuationSeparator" w:id="0">
    <w:p w14:paraId="0DB22A34" w14:textId="77777777" w:rsidR="004E57FF" w:rsidRDefault="004E5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334510834"/>
      <w:docPartObj>
        <w:docPartGallery w:val="Page Numbers (Bottom of Page)"/>
        <w:docPartUnique/>
      </w:docPartObj>
    </w:sdtPr>
    <w:sdtEndPr>
      <w:rPr>
        <w:rFonts w:ascii="Arial" w:hAnsi="Arial" w:cs="Arial"/>
      </w:rPr>
    </w:sdtEndPr>
    <w:sdtContent>
      <w:sdt>
        <w:sdtPr>
          <w:rPr>
            <w:sz w:val="18"/>
            <w:szCs w:val="18"/>
          </w:rPr>
          <w:id w:val="-1669238322"/>
          <w:docPartObj>
            <w:docPartGallery w:val="Page Numbers (Top of Page)"/>
            <w:docPartUnique/>
          </w:docPartObj>
        </w:sdtPr>
        <w:sdtEndPr>
          <w:rPr>
            <w:rFonts w:ascii="Arial" w:hAnsi="Arial" w:cs="Arial"/>
          </w:rPr>
        </w:sdtEndPr>
        <w:sdtContent>
          <w:p w14:paraId="65A3BEB9" w14:textId="77777777" w:rsidR="00022C17" w:rsidRPr="000D073E" w:rsidRDefault="00022C17" w:rsidP="00022C17">
            <w:pPr>
              <w:pStyle w:val="Footer"/>
              <w:jc w:val="right"/>
              <w:rPr>
                <w:rFonts w:ascii="Arial" w:hAnsi="Arial" w:cs="Arial"/>
                <w:sz w:val="18"/>
                <w:szCs w:val="18"/>
              </w:rPr>
            </w:pPr>
            <w:r w:rsidRPr="000D073E">
              <w:rPr>
                <w:rFonts w:ascii="Arial" w:hAnsi="Arial" w:cs="Arial"/>
                <w:sz w:val="18"/>
                <w:szCs w:val="18"/>
              </w:rPr>
              <w:t xml:space="preserve">Page </w:t>
            </w:r>
            <w:r w:rsidRPr="000D073E">
              <w:rPr>
                <w:rFonts w:ascii="Arial" w:hAnsi="Arial" w:cs="Arial"/>
                <w:b/>
                <w:bCs/>
                <w:sz w:val="18"/>
                <w:szCs w:val="18"/>
              </w:rPr>
              <w:fldChar w:fldCharType="begin"/>
            </w:r>
            <w:r w:rsidRPr="000D073E">
              <w:rPr>
                <w:rFonts w:ascii="Arial" w:hAnsi="Arial" w:cs="Arial"/>
                <w:b/>
                <w:bCs/>
                <w:sz w:val="18"/>
                <w:szCs w:val="18"/>
              </w:rPr>
              <w:instrText xml:space="preserve"> PAGE </w:instrText>
            </w:r>
            <w:r w:rsidRPr="000D073E">
              <w:rPr>
                <w:rFonts w:ascii="Arial" w:hAnsi="Arial" w:cs="Arial"/>
                <w:b/>
                <w:bCs/>
                <w:sz w:val="18"/>
                <w:szCs w:val="18"/>
              </w:rPr>
              <w:fldChar w:fldCharType="separate"/>
            </w:r>
            <w:r w:rsidR="00CF73D9">
              <w:rPr>
                <w:rFonts w:ascii="Arial" w:hAnsi="Arial" w:cs="Arial"/>
                <w:b/>
                <w:bCs/>
                <w:noProof/>
                <w:sz w:val="18"/>
                <w:szCs w:val="18"/>
              </w:rPr>
              <w:t>4</w:t>
            </w:r>
            <w:r w:rsidRPr="000D073E">
              <w:rPr>
                <w:rFonts w:ascii="Arial" w:hAnsi="Arial" w:cs="Arial"/>
                <w:b/>
                <w:bCs/>
                <w:sz w:val="18"/>
                <w:szCs w:val="18"/>
              </w:rPr>
              <w:fldChar w:fldCharType="end"/>
            </w:r>
            <w:r w:rsidRPr="000D073E">
              <w:rPr>
                <w:rFonts w:ascii="Arial" w:hAnsi="Arial" w:cs="Arial"/>
                <w:sz w:val="18"/>
                <w:szCs w:val="18"/>
              </w:rPr>
              <w:t xml:space="preserve"> of </w:t>
            </w:r>
            <w:r w:rsidRPr="000D073E">
              <w:rPr>
                <w:rFonts w:ascii="Arial" w:hAnsi="Arial" w:cs="Arial"/>
                <w:b/>
                <w:bCs/>
                <w:sz w:val="18"/>
                <w:szCs w:val="18"/>
              </w:rPr>
              <w:fldChar w:fldCharType="begin"/>
            </w:r>
            <w:r w:rsidRPr="000D073E">
              <w:rPr>
                <w:rFonts w:ascii="Arial" w:hAnsi="Arial" w:cs="Arial"/>
                <w:b/>
                <w:bCs/>
                <w:sz w:val="18"/>
                <w:szCs w:val="18"/>
              </w:rPr>
              <w:instrText xml:space="preserve"> NUMPAGES  </w:instrText>
            </w:r>
            <w:r w:rsidRPr="000D073E">
              <w:rPr>
                <w:rFonts w:ascii="Arial" w:hAnsi="Arial" w:cs="Arial"/>
                <w:b/>
                <w:bCs/>
                <w:sz w:val="18"/>
                <w:szCs w:val="18"/>
              </w:rPr>
              <w:fldChar w:fldCharType="separate"/>
            </w:r>
            <w:r w:rsidR="00CF73D9">
              <w:rPr>
                <w:rFonts w:ascii="Arial" w:hAnsi="Arial" w:cs="Arial"/>
                <w:b/>
                <w:bCs/>
                <w:noProof/>
                <w:sz w:val="18"/>
                <w:szCs w:val="18"/>
              </w:rPr>
              <w:t>4</w:t>
            </w:r>
            <w:r w:rsidRPr="000D073E">
              <w:rPr>
                <w:rFonts w:ascii="Arial" w:hAnsi="Arial" w:cs="Arial"/>
                <w:b/>
                <w:bCs/>
                <w:sz w:val="18"/>
                <w:szCs w:val="18"/>
              </w:rPr>
              <w:fldChar w:fldCharType="end"/>
            </w:r>
          </w:p>
        </w:sdtContent>
      </w:sdt>
    </w:sdtContent>
  </w:sdt>
  <w:p w14:paraId="55D8B2AC" w14:textId="77777777" w:rsidR="00022C17" w:rsidRDefault="00022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52946" w14:textId="77777777" w:rsidR="004E57FF" w:rsidRDefault="004E57FF">
      <w:r>
        <w:rPr>
          <w:color w:val="000000"/>
        </w:rPr>
        <w:separator/>
      </w:r>
    </w:p>
  </w:footnote>
  <w:footnote w:type="continuationSeparator" w:id="0">
    <w:p w14:paraId="39ACDCC6" w14:textId="77777777" w:rsidR="004E57FF" w:rsidRDefault="004E5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29F3"/>
    <w:multiLevelType w:val="hybridMultilevel"/>
    <w:tmpl w:val="0F0A4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61341"/>
    <w:multiLevelType w:val="multilevel"/>
    <w:tmpl w:val="8F5AF7CE"/>
    <w:styleLink w:val="WWNum15"/>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04A54EB5"/>
    <w:multiLevelType w:val="multilevel"/>
    <w:tmpl w:val="643826B2"/>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081831CE"/>
    <w:multiLevelType w:val="hybridMultilevel"/>
    <w:tmpl w:val="C1D23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1746B0"/>
    <w:multiLevelType w:val="hybridMultilevel"/>
    <w:tmpl w:val="1332BE3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3D6016"/>
    <w:multiLevelType w:val="hybridMultilevel"/>
    <w:tmpl w:val="7116B6FC"/>
    <w:lvl w:ilvl="0" w:tplc="6A107A1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6" w15:restartNumberingAfterBreak="0">
    <w:nsid w:val="13404458"/>
    <w:multiLevelType w:val="hybridMultilevel"/>
    <w:tmpl w:val="DB025656"/>
    <w:lvl w:ilvl="0" w:tplc="3CDA0706">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D45EB9"/>
    <w:multiLevelType w:val="multilevel"/>
    <w:tmpl w:val="5F3E69FC"/>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16C779BF"/>
    <w:multiLevelType w:val="hybridMultilevel"/>
    <w:tmpl w:val="B4EE9F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454BE4"/>
    <w:multiLevelType w:val="hybridMultilevel"/>
    <w:tmpl w:val="F10A9504"/>
    <w:lvl w:ilvl="0" w:tplc="8862C0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5038A5"/>
    <w:multiLevelType w:val="multilevel"/>
    <w:tmpl w:val="C144D288"/>
    <w:styleLink w:val="WW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1C506EC2"/>
    <w:multiLevelType w:val="multilevel"/>
    <w:tmpl w:val="B6E61128"/>
    <w:styleLink w:val="WWNum13"/>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2" w15:restartNumberingAfterBreak="0">
    <w:nsid w:val="1E2932FE"/>
    <w:multiLevelType w:val="multilevel"/>
    <w:tmpl w:val="E87EE7D4"/>
    <w:styleLink w:val="WWNum1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1E9444CB"/>
    <w:multiLevelType w:val="multilevel"/>
    <w:tmpl w:val="EAF8C3D4"/>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1FC742CA"/>
    <w:multiLevelType w:val="hybridMultilevel"/>
    <w:tmpl w:val="254C5B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DE5296"/>
    <w:multiLevelType w:val="hybridMultilevel"/>
    <w:tmpl w:val="39E6927C"/>
    <w:lvl w:ilvl="0" w:tplc="08090001">
      <w:start w:val="1"/>
      <w:numFmt w:val="bullet"/>
      <w:lvlText w:val=""/>
      <w:lvlJc w:val="left"/>
      <w:pPr>
        <w:tabs>
          <w:tab w:val="num" w:pos="677"/>
        </w:tabs>
        <w:ind w:left="67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3673F8"/>
    <w:multiLevelType w:val="multilevel"/>
    <w:tmpl w:val="A15A7FEC"/>
    <w:styleLink w:val="WWNum5"/>
    <w:lvl w:ilvl="0">
      <w:start w:val="1"/>
      <w:numFmt w:val="decimal"/>
      <w:lvlText w:val="%1."/>
      <w:lvlJc w:val="left"/>
    </w:lvl>
    <w:lvl w:ilvl="1">
      <w:numFmt w:val="bullet"/>
      <w:lvlText w:val=""/>
      <w:lvlJc w:val="left"/>
      <w:rPr>
        <w:rFonts w:ascii="Symbol" w:hAnsi="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212C5448"/>
    <w:multiLevelType w:val="hybridMultilevel"/>
    <w:tmpl w:val="5F84DF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8F730F"/>
    <w:multiLevelType w:val="multilevel"/>
    <w:tmpl w:val="D2521B8C"/>
    <w:styleLink w:val="WWNum1"/>
    <w:lvl w:ilvl="0">
      <w:start w:val="1"/>
      <w:numFmt w:val="decimal"/>
      <w:lvlText w:val="%1."/>
      <w:lvlJc w:val="left"/>
      <w:rPr>
        <w:b w:val="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26BD483E"/>
    <w:multiLevelType w:val="hybridMultilevel"/>
    <w:tmpl w:val="7BD635BC"/>
    <w:lvl w:ilvl="0" w:tplc="6584FA0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7035AF2"/>
    <w:multiLevelType w:val="hybridMultilevel"/>
    <w:tmpl w:val="69D6B204"/>
    <w:lvl w:ilvl="0" w:tplc="8862C0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CF1889"/>
    <w:multiLevelType w:val="multilevel"/>
    <w:tmpl w:val="F66AD01E"/>
    <w:styleLink w:val="WWNum16"/>
    <w:lvl w:ilvl="0">
      <w:start w:val="1"/>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2E95597A"/>
    <w:multiLevelType w:val="multilevel"/>
    <w:tmpl w:val="E214AA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06F45A3"/>
    <w:multiLevelType w:val="multilevel"/>
    <w:tmpl w:val="87AE90F2"/>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34D03F7F"/>
    <w:multiLevelType w:val="multilevel"/>
    <w:tmpl w:val="0809001F"/>
    <w:styleLink w:val="schedulelist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033CA0"/>
    <w:multiLevelType w:val="hybridMultilevel"/>
    <w:tmpl w:val="7DF82F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573ED8"/>
    <w:multiLevelType w:val="multilevel"/>
    <w:tmpl w:val="66D0C1EC"/>
    <w:styleLink w:val="WWNum7"/>
    <w:lvl w:ilvl="0">
      <w:numFmt w:val="bullet"/>
      <w:lvlText w:val=""/>
      <w:lvlJc w:val="left"/>
      <w:rPr>
        <w:rFonts w:ascii="Times New Roman" w:eastAsia="Calibri" w:hAnsi="Times New Roman"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381D5EF3"/>
    <w:multiLevelType w:val="hybridMultilevel"/>
    <w:tmpl w:val="C660E9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B3E0B73"/>
    <w:multiLevelType w:val="hybridMultilevel"/>
    <w:tmpl w:val="C9984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9A6CEC"/>
    <w:multiLevelType w:val="hybridMultilevel"/>
    <w:tmpl w:val="E4A05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531898"/>
    <w:multiLevelType w:val="multilevel"/>
    <w:tmpl w:val="610A5312"/>
    <w:styleLink w:val="NoList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4B3C0243"/>
    <w:multiLevelType w:val="multilevel"/>
    <w:tmpl w:val="E2D0074C"/>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15:restartNumberingAfterBreak="0">
    <w:nsid w:val="4D8A7132"/>
    <w:multiLevelType w:val="hybridMultilevel"/>
    <w:tmpl w:val="D8001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6E2891"/>
    <w:multiLevelType w:val="hybridMultilevel"/>
    <w:tmpl w:val="0576E62C"/>
    <w:lvl w:ilvl="0" w:tplc="E1367C0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08075AA"/>
    <w:multiLevelType w:val="multilevel"/>
    <w:tmpl w:val="98EE5ECA"/>
    <w:styleLink w:val="WWNum14"/>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35" w15:restartNumberingAfterBreak="0">
    <w:nsid w:val="52566464"/>
    <w:multiLevelType w:val="multilevel"/>
    <w:tmpl w:val="3B42A734"/>
    <w:styleLink w:val="WW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52973A4A"/>
    <w:multiLevelType w:val="hybridMultilevel"/>
    <w:tmpl w:val="D5ACD1A0"/>
    <w:lvl w:ilvl="0" w:tplc="6584FA02">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800"/>
        </w:tabs>
        <w:ind w:left="1800" w:hanging="360"/>
      </w:pPr>
      <w:rPr>
        <w:rFonts w:ascii="Courier New" w:hAnsi="Courier New" w:cs="Courier New" w:hint="default"/>
        <w:color w:val="auto"/>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6B33EBE"/>
    <w:multiLevelType w:val="multilevel"/>
    <w:tmpl w:val="6456BF40"/>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15:restartNumberingAfterBreak="0">
    <w:nsid w:val="68A72F10"/>
    <w:multiLevelType w:val="hybridMultilevel"/>
    <w:tmpl w:val="B9C07F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8837DD"/>
    <w:multiLevelType w:val="hybridMultilevel"/>
    <w:tmpl w:val="9D8C8218"/>
    <w:lvl w:ilvl="0" w:tplc="B6927130">
      <w:start w:val="12"/>
      <w:numFmt w:val="decimal"/>
      <w:lvlText w:val="%1."/>
      <w:lvlJc w:val="left"/>
      <w:pPr>
        <w:ind w:left="720" w:hanging="360"/>
      </w:pPr>
      <w:rPr>
        <w:rFonts w:eastAsiaTheme="minorHAnsi"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E86E08"/>
    <w:multiLevelType w:val="hybridMultilevel"/>
    <w:tmpl w:val="10A6FC1E"/>
    <w:name w:val="zzmpFWB||FW Body Text|2|3|0|1|0|49||1|0|32||1|0|32||1|0|32||1|0|32||1|0|32||1|0|32||1|0|32||mpN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A10CB1"/>
    <w:multiLevelType w:val="multilevel"/>
    <w:tmpl w:val="22208F0A"/>
    <w:styleLink w:val="WW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15:restartNumberingAfterBreak="0">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6382451"/>
    <w:multiLevelType w:val="multilevel"/>
    <w:tmpl w:val="04520AAA"/>
    <w:styleLink w:val="WWNum6"/>
    <w:lvl w:ilvl="0">
      <w:numFmt w:val="bullet"/>
      <w:lvlText w:val=""/>
      <w:lvlJc w:val="left"/>
      <w:rPr>
        <w:rFonts w:ascii="Times New Roman" w:eastAsia="Calibri" w:hAnsi="Times New Roman"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76FF62D7"/>
    <w:multiLevelType w:val="hybridMultilevel"/>
    <w:tmpl w:val="3EA0FF42"/>
    <w:lvl w:ilvl="0" w:tplc="419EE02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5" w15:restartNumberingAfterBreak="0">
    <w:nsid w:val="7872793D"/>
    <w:multiLevelType w:val="hybridMultilevel"/>
    <w:tmpl w:val="EB5A83BE"/>
    <w:lvl w:ilvl="0" w:tplc="72685A4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BB7DA7"/>
    <w:multiLevelType w:val="hybridMultilevel"/>
    <w:tmpl w:val="A664E6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A612CA4"/>
    <w:multiLevelType w:val="multilevel"/>
    <w:tmpl w:val="9E8A8124"/>
    <w:styleLink w:val="WWNum20"/>
    <w:lvl w:ilvl="0">
      <w:start w:val="1"/>
      <w:numFmt w:val="decimal"/>
      <w:lvlText w:val="%1."/>
      <w:lvlJc w:val="left"/>
    </w:lvl>
    <w:lvl w:ilvl="1">
      <w:start w:val="1"/>
      <w:numFmt w:val="decimal"/>
      <w:lvlText w:val="%1.%2"/>
      <w:lvlJc w:val="left"/>
    </w:lvl>
    <w:lvl w:ilvl="2">
      <w:numFmt w:val="bullet"/>
      <w:lvlText w:val=""/>
      <w:lvlJc w:val="left"/>
      <w:rPr>
        <w:rFonts w:ascii="Symbol" w:hAnsi="Symbol"/>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7BA36B4A"/>
    <w:multiLevelType w:val="multilevel"/>
    <w:tmpl w:val="9B2E9FCE"/>
    <w:styleLink w:val="WWNum18"/>
    <w:lvl w:ilvl="0">
      <w:start w:val="1"/>
      <w:numFmt w:val="decimal"/>
      <w:lvlText w:val="%1."/>
      <w:lvlJc w:val="left"/>
    </w:lvl>
    <w:lvl w:ilvl="1">
      <w:start w:val="1"/>
      <w:numFmt w:val="decimal"/>
      <w:lvlText w:val="%1.%2"/>
      <w:lvlJc w:val="left"/>
    </w:lvl>
    <w:lvl w:ilvl="2">
      <w:numFmt w:val="bullet"/>
      <w:lvlText w:val=""/>
      <w:lvlJc w:val="left"/>
      <w:rPr>
        <w:rFonts w:ascii="Symbol" w:hAnsi="Symbol"/>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7E0714F5"/>
    <w:multiLevelType w:val="multilevel"/>
    <w:tmpl w:val="6D74641C"/>
    <w:styleLink w:val="WWNum2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15:restartNumberingAfterBreak="0">
    <w:nsid w:val="7E735C01"/>
    <w:multiLevelType w:val="multilevel"/>
    <w:tmpl w:val="9C6C66E4"/>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16cid:durableId="17123633">
    <w:abstractNumId w:val="30"/>
  </w:num>
  <w:num w:numId="2" w16cid:durableId="124199981">
    <w:abstractNumId w:val="18"/>
  </w:num>
  <w:num w:numId="3" w16cid:durableId="1547832476">
    <w:abstractNumId w:val="7"/>
  </w:num>
  <w:num w:numId="4" w16cid:durableId="365107300">
    <w:abstractNumId w:val="23"/>
  </w:num>
  <w:num w:numId="5" w16cid:durableId="466167109">
    <w:abstractNumId w:val="13"/>
  </w:num>
  <w:num w:numId="6" w16cid:durableId="1488520988">
    <w:abstractNumId w:val="16"/>
  </w:num>
  <w:num w:numId="7" w16cid:durableId="1367101016">
    <w:abstractNumId w:val="43"/>
  </w:num>
  <w:num w:numId="8" w16cid:durableId="136187170">
    <w:abstractNumId w:val="26"/>
  </w:num>
  <w:num w:numId="9" w16cid:durableId="470368951">
    <w:abstractNumId w:val="50"/>
  </w:num>
  <w:num w:numId="10" w16cid:durableId="1166095171">
    <w:abstractNumId w:val="37"/>
  </w:num>
  <w:num w:numId="11" w16cid:durableId="1437824528">
    <w:abstractNumId w:val="31"/>
  </w:num>
  <w:num w:numId="12" w16cid:durableId="1525286101">
    <w:abstractNumId w:val="10"/>
  </w:num>
  <w:num w:numId="13" w16cid:durableId="1129513306">
    <w:abstractNumId w:val="12"/>
  </w:num>
  <w:num w:numId="14" w16cid:durableId="1976445997">
    <w:abstractNumId w:val="11"/>
  </w:num>
  <w:num w:numId="15" w16cid:durableId="787894170">
    <w:abstractNumId w:val="34"/>
  </w:num>
  <w:num w:numId="16" w16cid:durableId="309673651">
    <w:abstractNumId w:val="1"/>
  </w:num>
  <w:num w:numId="17" w16cid:durableId="189028455">
    <w:abstractNumId w:val="21"/>
  </w:num>
  <w:num w:numId="18" w16cid:durableId="30108786">
    <w:abstractNumId w:val="35"/>
  </w:num>
  <w:num w:numId="19" w16cid:durableId="365757585">
    <w:abstractNumId w:val="48"/>
  </w:num>
  <w:num w:numId="20" w16cid:durableId="1824618325">
    <w:abstractNumId w:val="2"/>
  </w:num>
  <w:num w:numId="21" w16cid:durableId="584996435">
    <w:abstractNumId w:val="47"/>
  </w:num>
  <w:num w:numId="22" w16cid:durableId="132525690">
    <w:abstractNumId w:val="41"/>
  </w:num>
  <w:num w:numId="23" w16cid:durableId="872038647">
    <w:abstractNumId w:val="49"/>
  </w:num>
  <w:num w:numId="24" w16cid:durableId="2137408575">
    <w:abstractNumId w:val="7"/>
    <w:lvlOverride w:ilvl="0">
      <w:startOverride w:val="1"/>
    </w:lvlOverride>
  </w:num>
  <w:num w:numId="25" w16cid:durableId="897207142">
    <w:abstractNumId w:val="7"/>
    <w:lvlOverride w:ilvl="0">
      <w:startOverride w:val="1"/>
    </w:lvlOverride>
  </w:num>
  <w:num w:numId="26" w16cid:durableId="1907111132">
    <w:abstractNumId w:val="24"/>
  </w:num>
  <w:num w:numId="27" w16cid:durableId="1378315074">
    <w:abstractNumId w:val="6"/>
  </w:num>
  <w:num w:numId="28" w16cid:durableId="241768210">
    <w:abstractNumId w:val="22"/>
  </w:num>
  <w:num w:numId="29" w16cid:durableId="975641818">
    <w:abstractNumId w:val="42"/>
  </w:num>
  <w:num w:numId="30" w16cid:durableId="289554891">
    <w:abstractNumId w:val="27"/>
  </w:num>
  <w:num w:numId="31" w16cid:durableId="400373775">
    <w:abstractNumId w:val="45"/>
  </w:num>
  <w:num w:numId="32" w16cid:durableId="625891089">
    <w:abstractNumId w:val="8"/>
  </w:num>
  <w:num w:numId="33" w16cid:durableId="2130395325">
    <w:abstractNumId w:val="15"/>
  </w:num>
  <w:num w:numId="34" w16cid:durableId="1932396790">
    <w:abstractNumId w:val="36"/>
  </w:num>
  <w:num w:numId="35" w16cid:durableId="1692486695">
    <w:abstractNumId w:val="28"/>
  </w:num>
  <w:num w:numId="36" w16cid:durableId="399865698">
    <w:abstractNumId w:val="19"/>
  </w:num>
  <w:num w:numId="37" w16cid:durableId="225263219">
    <w:abstractNumId w:val="17"/>
  </w:num>
  <w:num w:numId="38" w16cid:durableId="27728674">
    <w:abstractNumId w:val="46"/>
  </w:num>
  <w:num w:numId="39" w16cid:durableId="327680694">
    <w:abstractNumId w:val="25"/>
  </w:num>
  <w:num w:numId="40" w16cid:durableId="759914088">
    <w:abstractNumId w:val="29"/>
  </w:num>
  <w:num w:numId="41" w16cid:durableId="1958675998">
    <w:abstractNumId w:val="3"/>
  </w:num>
  <w:num w:numId="42" w16cid:durableId="523590678">
    <w:abstractNumId w:val="38"/>
  </w:num>
  <w:num w:numId="43" w16cid:durableId="1443695479">
    <w:abstractNumId w:val="5"/>
  </w:num>
  <w:num w:numId="44" w16cid:durableId="1971738136">
    <w:abstractNumId w:val="14"/>
  </w:num>
  <w:num w:numId="45" w16cid:durableId="1589919171">
    <w:abstractNumId w:val="4"/>
  </w:num>
  <w:num w:numId="46" w16cid:durableId="1868832446">
    <w:abstractNumId w:val="40"/>
  </w:num>
  <w:num w:numId="47" w16cid:durableId="1694069279">
    <w:abstractNumId w:val="9"/>
  </w:num>
  <w:num w:numId="48" w16cid:durableId="1276476678">
    <w:abstractNumId w:val="20"/>
  </w:num>
  <w:num w:numId="49" w16cid:durableId="266692864">
    <w:abstractNumId w:val="44"/>
  </w:num>
  <w:num w:numId="50" w16cid:durableId="1377008336">
    <w:abstractNumId w:val="33"/>
  </w:num>
  <w:num w:numId="51" w16cid:durableId="1490637745">
    <w:abstractNumId w:val="32"/>
  </w:num>
  <w:num w:numId="52" w16cid:durableId="570195581">
    <w:abstractNumId w:val="0"/>
  </w:num>
  <w:num w:numId="53" w16cid:durableId="700790692">
    <w:abstractNumId w:val="3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insDel="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D02"/>
    <w:rsid w:val="00002B01"/>
    <w:rsid w:val="0001760C"/>
    <w:rsid w:val="00022C17"/>
    <w:rsid w:val="00031502"/>
    <w:rsid w:val="000346F1"/>
    <w:rsid w:val="00052B2E"/>
    <w:rsid w:val="000640A1"/>
    <w:rsid w:val="00070F5D"/>
    <w:rsid w:val="000A15C1"/>
    <w:rsid w:val="000B0E75"/>
    <w:rsid w:val="000B7BB8"/>
    <w:rsid w:val="000C51CD"/>
    <w:rsid w:val="000D073E"/>
    <w:rsid w:val="000E0851"/>
    <w:rsid w:val="000F3CAE"/>
    <w:rsid w:val="00100E96"/>
    <w:rsid w:val="0010232C"/>
    <w:rsid w:val="00134129"/>
    <w:rsid w:val="00136051"/>
    <w:rsid w:val="001842DF"/>
    <w:rsid w:val="001B175E"/>
    <w:rsid w:val="002171D7"/>
    <w:rsid w:val="00236BD6"/>
    <w:rsid w:val="00264C30"/>
    <w:rsid w:val="00270867"/>
    <w:rsid w:val="00276D21"/>
    <w:rsid w:val="00293D1B"/>
    <w:rsid w:val="00294575"/>
    <w:rsid w:val="00295BF1"/>
    <w:rsid w:val="002F0380"/>
    <w:rsid w:val="003024EB"/>
    <w:rsid w:val="00331F04"/>
    <w:rsid w:val="00332D52"/>
    <w:rsid w:val="00350F9E"/>
    <w:rsid w:val="003613EB"/>
    <w:rsid w:val="00386761"/>
    <w:rsid w:val="0039062E"/>
    <w:rsid w:val="003A0FCF"/>
    <w:rsid w:val="003A2640"/>
    <w:rsid w:val="003A45BA"/>
    <w:rsid w:val="003B7A21"/>
    <w:rsid w:val="003C058F"/>
    <w:rsid w:val="003C6E7B"/>
    <w:rsid w:val="003D0189"/>
    <w:rsid w:val="004071D9"/>
    <w:rsid w:val="00416D02"/>
    <w:rsid w:val="00433A3C"/>
    <w:rsid w:val="00442503"/>
    <w:rsid w:val="004434AB"/>
    <w:rsid w:val="004811FF"/>
    <w:rsid w:val="00495E76"/>
    <w:rsid w:val="004A5BA0"/>
    <w:rsid w:val="004A62F9"/>
    <w:rsid w:val="004D3F9B"/>
    <w:rsid w:val="004E1123"/>
    <w:rsid w:val="004E57FF"/>
    <w:rsid w:val="004F7574"/>
    <w:rsid w:val="005547FC"/>
    <w:rsid w:val="00557636"/>
    <w:rsid w:val="00571248"/>
    <w:rsid w:val="00580768"/>
    <w:rsid w:val="00597A97"/>
    <w:rsid w:val="00597C2F"/>
    <w:rsid w:val="005A7653"/>
    <w:rsid w:val="005E27C3"/>
    <w:rsid w:val="005E7A19"/>
    <w:rsid w:val="00620DD8"/>
    <w:rsid w:val="0062578C"/>
    <w:rsid w:val="00626F2C"/>
    <w:rsid w:val="00662622"/>
    <w:rsid w:val="006713F3"/>
    <w:rsid w:val="00683F4A"/>
    <w:rsid w:val="006967E2"/>
    <w:rsid w:val="006A61A7"/>
    <w:rsid w:val="006B2490"/>
    <w:rsid w:val="006B6D72"/>
    <w:rsid w:val="006D125C"/>
    <w:rsid w:val="00700298"/>
    <w:rsid w:val="00706601"/>
    <w:rsid w:val="007100E7"/>
    <w:rsid w:val="00723B83"/>
    <w:rsid w:val="007322DD"/>
    <w:rsid w:val="00734651"/>
    <w:rsid w:val="00743DAA"/>
    <w:rsid w:val="0079079E"/>
    <w:rsid w:val="007913B6"/>
    <w:rsid w:val="007A7B80"/>
    <w:rsid w:val="007E33FD"/>
    <w:rsid w:val="007E4420"/>
    <w:rsid w:val="00803037"/>
    <w:rsid w:val="0080356D"/>
    <w:rsid w:val="00822EB4"/>
    <w:rsid w:val="0083709D"/>
    <w:rsid w:val="00860EA4"/>
    <w:rsid w:val="00861FAC"/>
    <w:rsid w:val="00877C69"/>
    <w:rsid w:val="008855DD"/>
    <w:rsid w:val="00892D06"/>
    <w:rsid w:val="008C1A08"/>
    <w:rsid w:val="008C5F59"/>
    <w:rsid w:val="008C7FA5"/>
    <w:rsid w:val="0090792A"/>
    <w:rsid w:val="00912D28"/>
    <w:rsid w:val="009152C3"/>
    <w:rsid w:val="009167FF"/>
    <w:rsid w:val="00920DE3"/>
    <w:rsid w:val="00952116"/>
    <w:rsid w:val="00954CE0"/>
    <w:rsid w:val="00987755"/>
    <w:rsid w:val="009944CB"/>
    <w:rsid w:val="00995544"/>
    <w:rsid w:val="009A41BF"/>
    <w:rsid w:val="009C3066"/>
    <w:rsid w:val="009D3927"/>
    <w:rsid w:val="009D61DF"/>
    <w:rsid w:val="009E2616"/>
    <w:rsid w:val="00A02AA6"/>
    <w:rsid w:val="00A04EA9"/>
    <w:rsid w:val="00A1310D"/>
    <w:rsid w:val="00A32B33"/>
    <w:rsid w:val="00A43714"/>
    <w:rsid w:val="00A84521"/>
    <w:rsid w:val="00A97EAD"/>
    <w:rsid w:val="00AC041C"/>
    <w:rsid w:val="00AF55BF"/>
    <w:rsid w:val="00B32687"/>
    <w:rsid w:val="00B403D1"/>
    <w:rsid w:val="00B60B77"/>
    <w:rsid w:val="00B626FF"/>
    <w:rsid w:val="00B7475F"/>
    <w:rsid w:val="00B74BFA"/>
    <w:rsid w:val="00BA7C79"/>
    <w:rsid w:val="00BB6C38"/>
    <w:rsid w:val="00BD240A"/>
    <w:rsid w:val="00BD403A"/>
    <w:rsid w:val="00BD5550"/>
    <w:rsid w:val="00BE09B4"/>
    <w:rsid w:val="00BE4000"/>
    <w:rsid w:val="00BF0705"/>
    <w:rsid w:val="00C768CC"/>
    <w:rsid w:val="00CC4001"/>
    <w:rsid w:val="00CF6452"/>
    <w:rsid w:val="00CF73D9"/>
    <w:rsid w:val="00D0480E"/>
    <w:rsid w:val="00D1351F"/>
    <w:rsid w:val="00D93320"/>
    <w:rsid w:val="00DA325C"/>
    <w:rsid w:val="00DD049A"/>
    <w:rsid w:val="00DD50D8"/>
    <w:rsid w:val="00DD518A"/>
    <w:rsid w:val="00DD6D52"/>
    <w:rsid w:val="00DE2DE3"/>
    <w:rsid w:val="00E56057"/>
    <w:rsid w:val="00E73AEE"/>
    <w:rsid w:val="00E8382E"/>
    <w:rsid w:val="00E85C72"/>
    <w:rsid w:val="00EF2216"/>
    <w:rsid w:val="00F05C40"/>
    <w:rsid w:val="00F77E51"/>
    <w:rsid w:val="00F9063A"/>
    <w:rsid w:val="00F9332D"/>
    <w:rsid w:val="00F947F1"/>
    <w:rsid w:val="00FA33A6"/>
    <w:rsid w:val="00FC5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C374D"/>
  <w15:docId w15:val="{78420564-5E79-44B7-8193-7A964DDF6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sz w:val="24"/>
        <w:lang w:val="en-GB" w:eastAsia="en-GB"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szCs w:val="24"/>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Style2">
    <w:name w:val="Style2"/>
    <w:basedOn w:val="Standard"/>
  </w:style>
  <w:style w:type="paragraph" w:customStyle="1" w:styleId="TitleV5">
    <w:name w:val="Title V5"/>
    <w:basedOn w:val="Standard"/>
    <w:next w:val="Standard"/>
    <w:pPr>
      <w:jc w:val="both"/>
    </w:pPr>
    <w:rPr>
      <w:rFonts w:ascii="Arial" w:hAnsi="Arial" w:cs="Arial"/>
      <w:sz w:val="20"/>
      <w:szCs w:val="20"/>
    </w:rPr>
  </w:style>
  <w:style w:type="paragraph" w:styleId="ListParagraph">
    <w:name w:val="List Paragraph"/>
    <w:basedOn w:val="Standard"/>
    <w:link w:val="ListParagraphChar"/>
    <w:uiPriority w:val="34"/>
    <w:qFormat/>
    <w:pPr>
      <w:ind w:left="720"/>
    </w:pPr>
  </w:style>
  <w:style w:type="paragraph" w:styleId="BalloonText">
    <w:name w:val="Balloon Text"/>
    <w:basedOn w:val="Standard"/>
    <w:rPr>
      <w:rFonts w:ascii="Tahoma" w:hAnsi="Tahoma" w:cs="Tahoma"/>
      <w:sz w:val="16"/>
      <w:szCs w:val="16"/>
    </w:rPr>
  </w:style>
  <w:style w:type="paragraph" w:styleId="Header">
    <w:name w:val="header"/>
    <w:basedOn w:val="Standard"/>
    <w:pPr>
      <w:tabs>
        <w:tab w:val="center" w:pos="4513"/>
        <w:tab w:val="right" w:pos="9026"/>
      </w:tabs>
    </w:pPr>
  </w:style>
  <w:style w:type="paragraph" w:styleId="Footer">
    <w:name w:val="footer"/>
    <w:basedOn w:val="Standard"/>
    <w:uiPriority w:val="99"/>
    <w:pPr>
      <w:tabs>
        <w:tab w:val="center" w:pos="4513"/>
        <w:tab w:val="right" w:pos="9026"/>
      </w:tabs>
    </w:pPr>
  </w:style>
  <w:style w:type="paragraph" w:styleId="FootnoteText">
    <w:name w:val="footnote text"/>
    <w:basedOn w:val="Standard"/>
    <w:rPr>
      <w:rFonts w:ascii="Calibri" w:eastAsia="Calibri" w:hAnsi="Calibri"/>
      <w:sz w:val="20"/>
      <w:szCs w:val="20"/>
      <w:lang w:eastAsia="en-US"/>
    </w:rPr>
  </w:style>
  <w:style w:type="paragraph" w:styleId="CommentText">
    <w:name w:val="annotation text"/>
    <w:basedOn w:val="Standard"/>
    <w:rPr>
      <w:sz w:val="20"/>
      <w:szCs w:val="20"/>
    </w:rPr>
  </w:style>
  <w:style w:type="paragraph" w:styleId="CommentSubject">
    <w:name w:val="annotation subject"/>
    <w:basedOn w:val="CommentText"/>
    <w:rPr>
      <w:b/>
      <w:bCs/>
    </w:rPr>
  </w:style>
  <w:style w:type="paragraph" w:customStyle="1" w:styleId="TableContents">
    <w:name w:val="Table Contents"/>
    <w:basedOn w:val="Standard"/>
  </w:style>
  <w:style w:type="paragraph" w:customStyle="1" w:styleId="Default">
    <w:name w:val="Default"/>
    <w:pPr>
      <w:suppressAutoHyphens/>
    </w:pPr>
    <w:rPr>
      <w:rFonts w:ascii="Arial" w:hAnsi="Arial"/>
      <w:color w:val="000000"/>
    </w:rPr>
  </w:style>
  <w:style w:type="character" w:customStyle="1" w:styleId="BalloonTextChar">
    <w:name w:val="Balloon Text Char"/>
    <w:basedOn w:val="DefaultParagraphFont"/>
    <w:rPr>
      <w:rFonts w:ascii="Tahoma" w:hAnsi="Tahoma" w:cs="Tahoma"/>
      <w:sz w:val="16"/>
      <w:szCs w:val="16"/>
    </w:rPr>
  </w:style>
  <w:style w:type="character" w:customStyle="1" w:styleId="HeaderChar">
    <w:name w:val="Header Char"/>
    <w:basedOn w:val="DefaultParagraphFont"/>
    <w:rPr>
      <w:sz w:val="24"/>
      <w:szCs w:val="24"/>
    </w:rPr>
  </w:style>
  <w:style w:type="character" w:customStyle="1" w:styleId="FooterChar">
    <w:name w:val="Footer Char"/>
    <w:basedOn w:val="DefaultParagraphFont"/>
    <w:uiPriority w:val="99"/>
    <w:rPr>
      <w:sz w:val="24"/>
      <w:szCs w:val="24"/>
    </w:rPr>
  </w:style>
  <w:style w:type="character" w:customStyle="1" w:styleId="Internetlink">
    <w:name w:val="Internet link"/>
    <w:rPr>
      <w:color w:val="0000FF"/>
      <w:u w:val="single"/>
    </w:rPr>
  </w:style>
  <w:style w:type="character" w:customStyle="1" w:styleId="FootnoteTextChar">
    <w:name w:val="Footnote Text Char"/>
    <w:basedOn w:val="DefaultParagraphFont"/>
    <w:rPr>
      <w:rFonts w:ascii="Calibri" w:eastAsia="Calibri" w:hAnsi="Calibri"/>
      <w:lang w:eastAsia="en-US"/>
    </w:rPr>
  </w:style>
  <w:style w:type="character" w:styleId="FootnoteReference">
    <w:name w:val="footnote reference"/>
    <w:basedOn w:val="DefaultParagraphFont"/>
    <w:rPr>
      <w:position w:val="0"/>
      <w:vertAlign w:val="superscript"/>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style>
  <w:style w:type="character" w:customStyle="1" w:styleId="CommentSubjectChar">
    <w:name w:val="Comment Subject Char"/>
    <w:basedOn w:val="CommentTextChar"/>
    <w:rPr>
      <w:b/>
      <w:bCs/>
    </w:rPr>
  </w:style>
  <w:style w:type="character" w:customStyle="1" w:styleId="ListLabel1">
    <w:name w:val="ListLabel 1"/>
    <w:rPr>
      <w:b w:val="0"/>
    </w:rPr>
  </w:style>
  <w:style w:type="character" w:customStyle="1" w:styleId="ListLabel2">
    <w:name w:val="ListLabel 2"/>
    <w:rPr>
      <w:rFonts w:cs="Courier New"/>
    </w:rPr>
  </w:style>
  <w:style w:type="character" w:customStyle="1" w:styleId="ListLabel3">
    <w:name w:val="ListLabel 3"/>
    <w:rPr>
      <w:rFonts w:eastAsia="Calibri" w:cs="Arial"/>
    </w:rPr>
  </w:style>
  <w:style w:type="character" w:customStyle="1" w:styleId="ListLabel4">
    <w:name w:val="ListLabel 4"/>
    <w:rPr>
      <w:sz w:val="20"/>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table" w:customStyle="1" w:styleId="TableGrid1">
    <w:name w:val="Table Grid1"/>
    <w:basedOn w:val="TableNormal"/>
    <w:next w:val="TableGrid"/>
    <w:rsid w:val="00860EA4"/>
    <w:pPr>
      <w:widowControl/>
      <w:autoSpaceDN/>
      <w:textAlignment w:val="auto"/>
    </w:pPr>
    <w:rPr>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60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860EA4"/>
    <w:rPr>
      <w:szCs w:val="24"/>
    </w:rPr>
  </w:style>
  <w:style w:type="numbering" w:customStyle="1" w:styleId="schedulelist3">
    <w:name w:val="schedule list3"/>
    <w:rsid w:val="00860EA4"/>
    <w:pPr>
      <w:numPr>
        <w:numId w:val="26"/>
      </w:numPr>
    </w:pPr>
  </w:style>
  <w:style w:type="table" w:customStyle="1" w:styleId="TableGrid28">
    <w:name w:val="Table Grid28"/>
    <w:basedOn w:val="TableNormal"/>
    <w:next w:val="TableGrid"/>
    <w:uiPriority w:val="59"/>
    <w:rsid w:val="00BE4000"/>
    <w:pPr>
      <w:widowControl/>
      <w:autoSpaceDN/>
      <w:textAlignment w:val="auto"/>
    </w:pPr>
    <w:rPr>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811FF"/>
    <w:pPr>
      <w:widowControl/>
      <w:autoSpaceDN/>
      <w:textAlignment w:val="auto"/>
    </w:pPr>
    <w:rPr>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0792A"/>
    <w:rPr>
      <w:color w:val="0000FF"/>
      <w:u w:val="single"/>
    </w:rPr>
  </w:style>
  <w:style w:type="paragraph" w:styleId="TOC2">
    <w:name w:val="toc 2"/>
    <w:basedOn w:val="Normal"/>
    <w:next w:val="Normal"/>
    <w:autoRedefine/>
    <w:uiPriority w:val="39"/>
    <w:unhideWhenUsed/>
    <w:qFormat/>
    <w:rsid w:val="0090792A"/>
    <w:pPr>
      <w:widowControl/>
      <w:suppressAutoHyphens w:val="0"/>
      <w:autoSpaceDN/>
      <w:spacing w:after="100"/>
      <w:ind w:left="240"/>
      <w:textAlignment w:val="auto"/>
    </w:pPr>
    <w:rPr>
      <w:rFonts w:asciiTheme="minorHAnsi" w:eastAsiaTheme="minorEastAsia" w:hAnsiTheme="minorHAnsi" w:cstheme="minorBidi"/>
      <w:kern w:val="0"/>
      <w:lang w:val="en-US" w:eastAsia="ja-JP"/>
    </w:rPr>
  </w:style>
  <w:style w:type="paragraph" w:styleId="Title">
    <w:name w:val="Title"/>
    <w:basedOn w:val="Normal"/>
    <w:next w:val="Normal"/>
    <w:link w:val="TitleChar"/>
    <w:uiPriority w:val="10"/>
    <w:qFormat/>
    <w:rsid w:val="00620DD8"/>
    <w:pPr>
      <w:widowControl/>
      <w:suppressAutoHyphens w:val="0"/>
      <w:autoSpaceDN/>
      <w:textAlignment w:val="auto"/>
    </w:pPr>
    <w:rPr>
      <w:rFonts w:ascii="Arial" w:hAnsi="Arial"/>
      <w:b/>
      <w:bCs/>
      <w:color w:val="1F497D" w:themeColor="text2"/>
      <w:kern w:val="0"/>
      <w:sz w:val="80"/>
      <w:szCs w:val="80"/>
      <w:lang w:eastAsia="en-US"/>
    </w:rPr>
  </w:style>
  <w:style w:type="character" w:customStyle="1" w:styleId="TitleChar">
    <w:name w:val="Title Char"/>
    <w:basedOn w:val="DefaultParagraphFont"/>
    <w:link w:val="Title"/>
    <w:uiPriority w:val="10"/>
    <w:rsid w:val="00620DD8"/>
    <w:rPr>
      <w:rFonts w:ascii="Arial" w:hAnsi="Arial"/>
      <w:b/>
      <w:bCs/>
      <w:color w:val="1F497D" w:themeColor="text2"/>
      <w:kern w:val="0"/>
      <w:sz w:val="80"/>
      <w:szCs w:val="80"/>
      <w:lang w:eastAsia="en-US"/>
    </w:rPr>
  </w:style>
  <w:style w:type="paragraph" w:styleId="Revision">
    <w:name w:val="Revision"/>
    <w:hidden/>
    <w:uiPriority w:val="99"/>
    <w:semiHidden/>
    <w:rsid w:val="004D3F9B"/>
    <w:pPr>
      <w:widowControl/>
      <w:autoSpaceDN/>
      <w:textAlignment w:val="auto"/>
    </w:pPr>
  </w:style>
  <w:style w:type="character" w:styleId="UnresolvedMention">
    <w:name w:val="Unresolved Mention"/>
    <w:basedOn w:val="DefaultParagraphFont"/>
    <w:uiPriority w:val="99"/>
    <w:semiHidden/>
    <w:unhideWhenUsed/>
    <w:rsid w:val="004D3F9B"/>
    <w:rPr>
      <w:color w:val="605E5C"/>
      <w:shd w:val="clear" w:color="auto" w:fill="E1DFDD"/>
    </w:rPr>
  </w:style>
  <w:style w:type="character" w:customStyle="1" w:styleId="A8">
    <w:name w:val="A8"/>
    <w:uiPriority w:val="99"/>
    <w:rsid w:val="004D3F9B"/>
    <w:rPr>
      <w:rFonts w:cs="Frutiger LT Std 45 Ligh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9894">
      <w:bodyDiv w:val="1"/>
      <w:marLeft w:val="0"/>
      <w:marRight w:val="0"/>
      <w:marTop w:val="0"/>
      <w:marBottom w:val="0"/>
      <w:divBdr>
        <w:top w:val="none" w:sz="0" w:space="0" w:color="auto"/>
        <w:left w:val="none" w:sz="0" w:space="0" w:color="auto"/>
        <w:bottom w:val="none" w:sz="0" w:space="0" w:color="auto"/>
        <w:right w:val="none" w:sz="0" w:space="0" w:color="auto"/>
      </w:divBdr>
    </w:div>
    <w:div w:id="187260998">
      <w:bodyDiv w:val="1"/>
      <w:marLeft w:val="0"/>
      <w:marRight w:val="0"/>
      <w:marTop w:val="0"/>
      <w:marBottom w:val="0"/>
      <w:divBdr>
        <w:top w:val="none" w:sz="0" w:space="0" w:color="auto"/>
        <w:left w:val="none" w:sz="0" w:space="0" w:color="auto"/>
        <w:bottom w:val="none" w:sz="0" w:space="0" w:color="auto"/>
        <w:right w:val="none" w:sz="0" w:space="0" w:color="auto"/>
      </w:divBdr>
    </w:div>
    <w:div w:id="237063260">
      <w:bodyDiv w:val="1"/>
      <w:marLeft w:val="0"/>
      <w:marRight w:val="0"/>
      <w:marTop w:val="0"/>
      <w:marBottom w:val="0"/>
      <w:divBdr>
        <w:top w:val="none" w:sz="0" w:space="0" w:color="auto"/>
        <w:left w:val="none" w:sz="0" w:space="0" w:color="auto"/>
        <w:bottom w:val="none" w:sz="0" w:space="0" w:color="auto"/>
        <w:right w:val="none" w:sz="0" w:space="0" w:color="auto"/>
      </w:divBdr>
    </w:div>
    <w:div w:id="794300186">
      <w:bodyDiv w:val="1"/>
      <w:marLeft w:val="0"/>
      <w:marRight w:val="0"/>
      <w:marTop w:val="0"/>
      <w:marBottom w:val="0"/>
      <w:divBdr>
        <w:top w:val="none" w:sz="0" w:space="0" w:color="auto"/>
        <w:left w:val="none" w:sz="0" w:space="0" w:color="auto"/>
        <w:bottom w:val="none" w:sz="0" w:space="0" w:color="auto"/>
        <w:right w:val="none" w:sz="0" w:space="0" w:color="auto"/>
      </w:divBdr>
    </w:div>
    <w:div w:id="827744851">
      <w:bodyDiv w:val="1"/>
      <w:marLeft w:val="0"/>
      <w:marRight w:val="0"/>
      <w:marTop w:val="0"/>
      <w:marBottom w:val="0"/>
      <w:divBdr>
        <w:top w:val="none" w:sz="0" w:space="0" w:color="auto"/>
        <w:left w:val="none" w:sz="0" w:space="0" w:color="auto"/>
        <w:bottom w:val="none" w:sz="0" w:space="0" w:color="auto"/>
        <w:right w:val="none" w:sz="0" w:space="0" w:color="auto"/>
      </w:divBdr>
    </w:div>
    <w:div w:id="1104770012">
      <w:bodyDiv w:val="1"/>
      <w:marLeft w:val="0"/>
      <w:marRight w:val="0"/>
      <w:marTop w:val="0"/>
      <w:marBottom w:val="0"/>
      <w:divBdr>
        <w:top w:val="none" w:sz="0" w:space="0" w:color="auto"/>
        <w:left w:val="none" w:sz="0" w:space="0" w:color="auto"/>
        <w:bottom w:val="none" w:sz="0" w:space="0" w:color="auto"/>
        <w:right w:val="none" w:sz="0" w:space="0" w:color="auto"/>
      </w:divBdr>
    </w:div>
    <w:div w:id="1232886443">
      <w:bodyDiv w:val="1"/>
      <w:marLeft w:val="0"/>
      <w:marRight w:val="0"/>
      <w:marTop w:val="0"/>
      <w:marBottom w:val="0"/>
      <w:divBdr>
        <w:top w:val="none" w:sz="0" w:space="0" w:color="auto"/>
        <w:left w:val="none" w:sz="0" w:space="0" w:color="auto"/>
        <w:bottom w:val="none" w:sz="0" w:space="0" w:color="auto"/>
        <w:right w:val="none" w:sz="0" w:space="0" w:color="auto"/>
      </w:divBdr>
    </w:div>
    <w:div w:id="1259949381">
      <w:bodyDiv w:val="1"/>
      <w:marLeft w:val="0"/>
      <w:marRight w:val="0"/>
      <w:marTop w:val="0"/>
      <w:marBottom w:val="0"/>
      <w:divBdr>
        <w:top w:val="none" w:sz="0" w:space="0" w:color="auto"/>
        <w:left w:val="none" w:sz="0" w:space="0" w:color="auto"/>
        <w:bottom w:val="none" w:sz="0" w:space="0" w:color="auto"/>
        <w:right w:val="none" w:sz="0" w:space="0" w:color="auto"/>
      </w:divBdr>
    </w:div>
    <w:div w:id="1417634846">
      <w:bodyDiv w:val="1"/>
      <w:marLeft w:val="0"/>
      <w:marRight w:val="0"/>
      <w:marTop w:val="0"/>
      <w:marBottom w:val="0"/>
      <w:divBdr>
        <w:top w:val="none" w:sz="0" w:space="0" w:color="auto"/>
        <w:left w:val="none" w:sz="0" w:space="0" w:color="auto"/>
        <w:bottom w:val="none" w:sz="0" w:space="0" w:color="auto"/>
        <w:right w:val="none" w:sz="0" w:space="0" w:color="auto"/>
      </w:divBdr>
    </w:div>
    <w:div w:id="1453330882">
      <w:bodyDiv w:val="1"/>
      <w:marLeft w:val="0"/>
      <w:marRight w:val="0"/>
      <w:marTop w:val="0"/>
      <w:marBottom w:val="0"/>
      <w:divBdr>
        <w:top w:val="none" w:sz="0" w:space="0" w:color="auto"/>
        <w:left w:val="none" w:sz="0" w:space="0" w:color="auto"/>
        <w:bottom w:val="none" w:sz="0" w:space="0" w:color="auto"/>
        <w:right w:val="none" w:sz="0" w:space="0" w:color="auto"/>
      </w:divBdr>
    </w:div>
    <w:div w:id="1579175493">
      <w:bodyDiv w:val="1"/>
      <w:marLeft w:val="0"/>
      <w:marRight w:val="0"/>
      <w:marTop w:val="0"/>
      <w:marBottom w:val="0"/>
      <w:divBdr>
        <w:top w:val="none" w:sz="0" w:space="0" w:color="auto"/>
        <w:left w:val="none" w:sz="0" w:space="0" w:color="auto"/>
        <w:bottom w:val="none" w:sz="0" w:space="0" w:color="auto"/>
        <w:right w:val="none" w:sz="0" w:space="0" w:color="auto"/>
      </w:divBdr>
    </w:div>
    <w:div w:id="1762681676">
      <w:bodyDiv w:val="1"/>
      <w:marLeft w:val="0"/>
      <w:marRight w:val="0"/>
      <w:marTop w:val="0"/>
      <w:marBottom w:val="0"/>
      <w:divBdr>
        <w:top w:val="none" w:sz="0" w:space="0" w:color="auto"/>
        <w:left w:val="none" w:sz="0" w:space="0" w:color="auto"/>
        <w:bottom w:val="none" w:sz="0" w:space="0" w:color="auto"/>
        <w:right w:val="none" w:sz="0" w:space="0" w:color="auto"/>
      </w:divBdr>
    </w:div>
    <w:div w:id="1949655544">
      <w:bodyDiv w:val="1"/>
      <w:marLeft w:val="0"/>
      <w:marRight w:val="0"/>
      <w:marTop w:val="0"/>
      <w:marBottom w:val="0"/>
      <w:divBdr>
        <w:top w:val="none" w:sz="0" w:space="0" w:color="auto"/>
        <w:left w:val="none" w:sz="0" w:space="0" w:color="auto"/>
        <w:bottom w:val="none" w:sz="0" w:space="0" w:color="auto"/>
        <w:right w:val="none" w:sz="0" w:space="0" w:color="auto"/>
      </w:divBdr>
    </w:div>
    <w:div w:id="1983851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ma.org.uk/advice-and-support/nhs-delivery-and-workforce/primary-and-secondary-care/primary-and-secondary-care-working-together" TargetMode="External"/><Relationship Id="rId3" Type="http://schemas.openxmlformats.org/officeDocument/2006/relationships/settings" Target="settings.xml"/><Relationship Id="rId7" Type="http://schemas.openxmlformats.org/officeDocument/2006/relationships/hyperlink" Target="https://www.england.nhs.uk/wp-content/uploads/2018/11/elective-care-good-practice-guid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1862</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Bowley</dc:creator>
  <cp:lastModifiedBy>Barrington, Sharon (RTH) OUH</cp:lastModifiedBy>
  <cp:revision>3</cp:revision>
  <cp:lastPrinted>2018-03-07T08:14:00Z</cp:lastPrinted>
  <dcterms:created xsi:type="dcterms:W3CDTF">2024-05-08T11:56:00Z</dcterms:created>
  <dcterms:modified xsi:type="dcterms:W3CDTF">2024-05-08T11:56:00Z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DH</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